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承德银行承溢盈人民币理财产品第二百四十六期（产品代码CYY0246）其关键要素如下：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4.04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9.06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80.45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截至2024年9月30日，本产品持仓前十大资产市值合计2,852.04万元，占全部持仓资产规模合计102.78%。产品持仓前十大资产如下：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1,266.33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251.46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190.00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185.24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182.06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26,281,000.00份，持有资产总规模为27,752,982.01元，产品资产净值为27,696,992.65元，单位净值为1.0539元，累计单位净值为1.0539元。本报告期内产品单位净值上涨0.0172元，自成立以来产品单位净值上涨0.0539元，成立至今实现年化收益率为9.1081%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