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“承德银行承溢盈人民币理财产品第二百四十九期”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2024年第三季度运作情况报告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承德银行承溢盈人民币理财产品第二百四十九期（产品代码CYY0249）其关键要素如下：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C1089224000016</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2024年3月13日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2025年3月18日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370天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3.15%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截至2024年9月30日，本产品投资的持仓资产结构如下：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5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0.98</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非标准化债权类资产</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收益凭证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5.48</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商业性金融债券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6.74</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公募基金</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股票基金</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8.17</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信托产品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28.66</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49.97</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截至2024年9月30日，本产品持仓前十大资产市值合计1,535.85万元，占全部持仓资产规模合计67.74%。产品持仓前十大资产如下：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498.12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21.97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银华中证创新药产业ETF</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185.17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8.17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20秦皇岛银行二级01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152.83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6.74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东方财富证券吉祥冀德3号收益凭证</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124.20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5.48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102.66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4.53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101.79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4.49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100.53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4.43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98.12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4.33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97.96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4.32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22湖北银行二级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74.47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3.28</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存续份额为21,330,000.00份，持有资产总规模为22,671,597.09元，产品资产净值为22,629,102.35元，单位净值为1.0609元，累计单位净值为1.0609元。本报告期内产品单位净值上涨0.0221元，自成立以来产品单位净值上涨0.0609元，成立至今实现年化收益率为11.0042%。</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2024年9月30日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4460" w:orient="portrait" w:code="381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