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“承德银行承溢盈人民币理财产品第二百四十七期”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承德银行承溢盈人民币理财产品第二百四十七期（产品代码CYY0247）其关键要素如下：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C1089224000014</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2024年3月6日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2025年3月11日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3.20%</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0.22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公募基金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股票基金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9.19</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37.12</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53.47</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截至2024年9月30日，本产品持仓前十大资产市值合计852.60万元，占全部持仓资产规模合计67.63%。产品持仓前十大资产如下：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银华中证创新药产业ETF</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115.82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109.38</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108.44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107.10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8.50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104.54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104.36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8.28</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79.34</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6.29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23句容02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41.77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3.31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24盐投03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41.02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3.25</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23镇交01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40.83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3.24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12,032,000.00份，持有资产总规模为12,605,136.36元，产品资产净值为12,580,332.24元，单位净值为1.0456元，累计单位净值为1.0456元。本报告期内产品单位净值上涨-0.0037元，自成立以来产品单位净值上涨0.0456元，成立至今实现年化收益率为7.9636%。</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2860" w:orient="portrait" w:code="373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