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“承德银行承溢盈人民币理财产品第二百四十一期”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2024年第三季度运作情况报告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承德银行承溢盈人民币理财产品第二百四十一期（产品代码CYY0241）其关键要素如下：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C1089224000008</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2024年2月7日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2025年2月18日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377天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3.25%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截至2024年9月30日，本产品投资的持仓资产结构如下：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3.49</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商业性金融债券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7.19</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非标准化债权类资产</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收益凭证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11.39</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77.93</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截至2024年9月30日，本产品持仓前十大资产市值合计1,218.54万元，占全部持仓资产规模合计86.00%。产品持仓前十大资产如下：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265.24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18.72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东方财富证券吉祥冀德3号收益凭证</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161.46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11.39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114.02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8.05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113.05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7.98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111.65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7.88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108.98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7.69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108.80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7.68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20秦皇岛银行二级01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101.89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7.19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82.71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50.76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3.58</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存续份额为13,566,000.00份，持有资产总规模为14,170,040.64元，产品资产净值为14,138,330.04元，单位净值为1.0422元，累计单位净值为1.0422元。本报告期内产品单位净值上涨-0.0332元，自成立以来产品单位净值上涨0.0422元，成立至今实现年化收益率为6.4992%。</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2024年9月30日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860" w:orient="portrait" w:code="373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