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“承德银行承溢盈人民币理财产品第二百五十六期”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2024年第三季度运作情况报告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承德银行承溢盈人民币理财产品第二百五十六期（产品代码CYY0256）其关键要素如下：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C1089224000023</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2024年4月3日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2025年4月15日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377天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3.10%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截至2024年9月30日，本产品投资的持仓资产结构如下：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0.39</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商业性金融债券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5.83</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公募基金</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股票基金</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8.05</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32.66</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53.07</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截至2024年9月30日，本产品持仓前十大资产市值合计1,818.17万元，占全部持仓资产规模合计69.38%。产品持仓前十大资产如下：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713.01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27.21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央企科技ETF</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210.89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8.05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20秦皇岛银行二级01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152.83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120.16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4.59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118.79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4.53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23浙商银行二级资本债01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118.75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4.53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23成都银行二级资本债01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117.15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4.47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115.14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4.39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23句容02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76.41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2.92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24盐投03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75.05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2.86</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存续份额为24,997,000.00份，持有资产总规模为26,206,103.38元，产品资产净值为26,161,477.83元，单位净值为1.0466元，累计单位净值为1.0466元。本报告期内产品单位净值上涨0.0067元，自成立以来产品单位净值上涨0.0466元，成立至今实现年化收益率为9.3972%。</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2024年9月30日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3660" w:orient="portrait" w:code="377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