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承德银行承溢盈人民币理财产品第二百二十五期（产品代码CYY0225）其关键要素如下：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3.45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5.41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9.85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36.69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44.60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截至2024年9月30日，本产品持仓前十大资产市值合计1,874.54万元，占全部持仓资产规模合计66.38%。产品持仓前十大资产如下：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399.29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278.13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169.78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162.27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162.00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26,241,000.00份，持有资产总规模为28,246,908.90元，产品资产净值为28,213,090.08元，单位净值为1.0752元，累计单位净值为1.0752元。本报告期内产品单位净值上涨0.0217元，自成立以来产品单位净值上涨0.0752元，成立至今实现年化收益率为9.3361%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