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承德银行承溢盈人民币理财产品第二百三十五期（产品代码CYY0235）其关键要素如下：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2025年1月21日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2.17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38.87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58.96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截至2024年9月30日，本产品持仓前十大资产市值合计1,282.30万元，占全部持仓资产规模合计79.54%。产品持仓前十大资产如下：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472.23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15,473,000.00份，持有资产总规模为16,123,000.90元，产品资产净值为16,083,627.52元，单位净值为1.0395元，累计单位净值为1.0395元。本报告期内产品单位净值上涨-0.0211元，自成立以来产品单位净值上涨0.0395元，成立至今实现年化收益率为5.5882%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