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承德银行承溢盈人民币理财产品第二百七十五期（产品代码CYY0275）其关键要素如下：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2025年1月21日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222天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13.44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74.02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截至2024年9月30日，本产品持仓前十大资产市值合计1,401.80万元，占全部持仓资产规模合计88.56%。产品持仓前十大资产如下：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392.08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144.73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138.32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138.09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央企科技ETF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央企创新驱动ETF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15,027,000.00份，持有资产总规模为15,826,638.97元，产品资产净值为15,810,335.87元，单位净值为1.0521元，累计单位净值为1.0521元。本报告期内产品单位净值上涨0.0421元，自成立以来产品单位净值上涨0.0521元，成立至今实现年化收益率为17.2877%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