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承德银行承溢盈人民币理财产品第二百一十五期（产品代码CYY0215）其关键要素如下：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0.84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6.23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7.66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22.44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62.83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截至2024年9月30日，本产品持仓前十大资产市值合计1,348.42万元，占全部持仓资产规模合计67.61%。产品持仓前十大资产如下：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332.83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152.83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120.19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119.16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114.87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114.68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18,849,000.00份，持有资产总规模为19,944,542.79元，产品资产净值为19,918,021.77元，单位净值为1.0567元，累计单位净值为1.0567元。本报告期内产品单位净值上涨0.0212元，自成立以来产品单位净值上涨0.0567元，成立至今实现年化收益率为6.4472%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3660" w:orient="portrait" w:code="377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