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tiff" ContentType="image/tif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“承德银行承溢盈人民币理财产品第二百一十七期”</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gridSpan w:val="17"/>
            <w:tcMar>
              <w:top w:w="0" w:type="dxa"/>
              <w:left w:w="0" w:type="dxa"/>
              <w:bottom w:w="0" w:type="dxa"/>
              <w:right w:w="0" w:type="dxa"/>
            </w:tcMar>
            <w:vAlign w:val="top"/>
          </w:tcPr>
          <w:p>
            <w:pPr>
              <w:ind/>
              <w:jc w:val="center"/>
            </w:pPr>
            <w:r>
              <w:rPr>
                <w:rFonts w:ascii="宋体" w:hAnsi="宋体" w:eastAsia="宋体" w:cs="宋体"/>
                <w:color w:val="000000"/>
                <w:sz w:val="36"/>
                <w:b w:val="true"/>
              </w:rPr>
              <w:t xml:space="preserve">  2024年第三季度运作情况报告</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一、产品情况介绍</w:t>
            </w: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pPr>
            <w:r>
              <w:rPr>
                <w:rFonts w:ascii="宋体" w:hAnsi="宋体" w:eastAsia="宋体" w:cs="宋体"/>
                <w:color w:val="000000"/>
                <w:sz w:val="24"/>
              </w:rPr>
              <w:t xml:space="preserve">       （一）产品要素</w:t>
            </w: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承德银行承溢盈人民币理财产品第二百一十七期（产品代码CYY0217）其关键要素如下：</w:t>
            </w:r>
          </w:p>
        </w:tc>
        <w:tc>
          <w:tcPr>
     </w:tcPr>
          <w:p>
            <w:pPr>
              <w:pStyle w:val="EMPTY_CELL_STYLE"/>
            </w:pPr>
          </w:p>
        </w:tc>
        <w:tc>
          <w:tcPr>
     </w:tcPr>
          <w:p>
            <w:pPr>
              <w:pStyle w:val="EMPTY_CELL_STYLE"/>
            </w:pPr>
          </w:p>
        </w:tc>
      </w:tr>
      <w:tr>
        <w:trPr>
          <w:trHeight w:hRule="exact" w:val="1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中债产品登记编码</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spacing w:lineRule="auto" w:line="360" w:after="0" w:before="0"/>
            </w:pPr>
            <w:r>
              <w:rPr>
                <w:rFonts w:ascii="宋体" w:hAnsi="宋体" w:eastAsia="宋体" w:cs="宋体"/>
                <w:color w:val="000000"/>
                <w:sz w:val="24"/>
              </w:rPr>
              <w:t xml:space="preserve">C1089223000095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起息日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2023年11月22日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到期日</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2024年11月26日</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产品期限</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370天</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产品投资类型</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固定收益类</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业绩比较基准</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3.55%</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产品管理人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gridSpan w:val="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宋体" w:hAnsi="宋体" w:eastAsia="宋体" w:cs="宋体"/>
                <w:color w:val="000000"/>
                <w:sz w:val="24"/>
              </w:rPr>
              <w:t xml:space="preserve">产品托管人</w:t>
            </w:r>
          </w:p>
        </w:tc>
        <w:tc>
          <w:tcPr>
            <w:gridSpan w:val="1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left="300"/>
              <w:jc w:val="left"/>
            </w:pPr>
            <w:r>
              <w:rPr>
                <w:rFonts w:ascii="宋体" w:hAnsi="宋体" w:eastAsia="宋体" w:cs="宋体"/>
                <w:color w:val="000000"/>
                <w:sz w:val="24"/>
              </w:rPr>
              <w:t xml:space="preserve">宁波银行北京分行</w:t>
            </w: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pPr>
            <w:r>
              <w:rPr>
                <w:rFonts w:ascii="宋体" w:hAnsi="宋体" w:eastAsia="宋体" w:cs="宋体"/>
                <w:color w:val="000000"/>
                <w:sz w:val="24"/>
              </w:rPr>
              <w:t xml:space="preserve">二、产品持仓状况</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80"/>
        </w:trPr>
        <w:tc>
          <w:tcPr>
     </w:tcPr>
          <w:p>
            <w:pPr>
              <w:pStyle w:val="EMPTY_CELL_STYLE"/>
            </w:pPr>
          </w:p>
        </w:tc>
        <w:tc>
          <w:tcPr>
     </w:tcPr>
          <w:p>
            <w:pPr>
              <w:pStyle w:val="EMPTY_CELL_STYLE"/>
            </w:pPr>
          </w:p>
        </w:tc>
        <w:tc>
          <w:tcPr>
     </w:tcPr>
          <w:p>
            <w:pPr>
              <w:pStyle w:val="EMPTY_CELL_STYLE"/>
            </w:pPr>
          </w:p>
        </w:tc>
        <w:tc>
          <w:tcPr>
            <w:gridSpan w:val="7"/>
            <w:tcMar>
              <w:top w:w="0" w:type="dxa"/>
              <w:left w:w="0" w:type="dxa"/>
              <w:bottom w:w="0" w:type="dxa"/>
              <w:right w:w="0" w:type="dxa"/>
            </w:tcMar>
            <w:vAlign w:val="top"/>
          </w:tcPr>
          <w:p>
            <w:pPr>
              <w:ind/>
              <w:jc w:val="left"/>
              <w:spacing w:lineRule="auto" w:line="3600" w:after="0" w:before="0"/>
            </w:pPr>
            <w:r>
              <w:rPr>
                <w:rFonts w:ascii="宋体" w:hAnsi="宋体" w:eastAsia="宋体" w:cs="宋体"/>
                <w:color w:val="000000"/>
                <w:sz w:val="24"/>
              </w:rPr>
              <w:t xml:space="preserve">       截至2024年9月30日，本产品投资的持仓资产结构如下：</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5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960"/>
              <w:gridCol w:w="2960"/>
              <w:gridCol w:w="2480"/>
            </w:tblGrid>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spacing w:lineRule="auto" w:line="240" w:after="0" w:before="0"/>
                        </w:pPr>
                        <w:r>
                          <w:rPr>
                            <w:rFonts w:ascii="宋体" w:hAnsi="宋体" w:eastAsia="宋体" w:cs="宋体"/>
                            <w:sz w:val="24"/>
                            <w:b w:val="true"/>
                          </w:rPr>
                          <w:t xml:space="preserve">资产类别</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20" w:type="dxa"/>
                  </w:tcMar>
                </w:tcPr>
                <w:tbl>
                  <w:tblPr>
                    <w:tblLayout w:type="fixed"/>
                  </w:tblPr>
                  <w:tblGrid>
                    <w:gridCol w:w="2940"/>
                    <w:gridCol w:w="2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b w:val="true"/>
                          </w:rPr>
                          <w:t xml:space="preserve">具体资产 </w:t>
                        </w:r>
                      </w:p>
                    </w:tc>
                    <w:tc>
                      <w:tcPr>
     </w:tcPr>
                      <w:p>
                        <w:pPr>
                          <w:pStyle w:val="EMPTY_CELL_STYLE"/>
                        </w:pP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现金及活期存款</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0.83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非标准化债权类资产</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收益凭证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6.43</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商业性金融债券</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7.91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公募基金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股票基金</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8.61</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信托产品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19.38</w:t>
                        </w:r>
                      </w:p>
                    </w:tc>
                  </w:tr>
                </w:tbl>
                <w:p>
                  <w:pPr>
                    <w:pStyle w:val="EMPTY_CELL_STYLE"/>
                  </w:pPr>
                </w:p>
              </w:tc>
            </w:tr>
            <w:tr>
              <w:trPr>
                <w:trHeight w:hRule="exact" w:val="800"/>
              </w:trPr>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960"/>
                    <w:gridCol w:w="2960"/>
                  </w:tblGrid>
                  <w:tr>
                    <w:trPr>
                      <w:trHeight w:hRule="exact" w:val="800"/>
                    </w:trPr>
                    <w:tc>
                      <w:tcPr>
                        <w:shd w:val="clear" w:color="auto" w:fill="FFFFFF"/>
                        <w:tcMar>
                          <w:top w:w="0" w:type="dxa"/>
                          <w:left w:w="0" w:type="dxa"/>
                          <w:bottom w:w="0" w:type="dxa"/>
                          <w:right w:w="20" w:type="dxa"/>
                        </w:tcMar>
                        <w:vAlign w:val="center"/>
                      </w:tcPr>
                      <w:p>
                        <w:pPr>
                          <w:pStyle w:val="Table_TH"/>
                          <w:ind/>
                          <w:jc w:val="center"/>
                        </w:pPr>
                        <w:r>
                          <w:rPr>
                            <w:rFonts w:ascii="宋体" w:hAnsi="宋体" w:eastAsia="宋体" w:cs="宋体"/>
                            <w:sz w:val="24"/>
                          </w:rPr>
                          <w:t xml:space="preserve">券商资产管理产品</w:t>
                        </w:r>
                      </w:p>
                    </w:tc>
                  </w:tr>
                </w:tbl>
                <w:p>
                  <w:pPr>
                    <w:pStyle w:val="EMPTY_CELL_STYLE"/>
                  </w:pPr>
                </w:p>
              </w:tc>
              <w:tc>
                <w:tcPr>
                  <w:shd w:val="clear" w:color="auto" w:fill="FFFFFF"/>
                  <w:tcBorders>
                    <w:top w:val="single" w:sz="1" w:space="0" w:color="000000"/>
                    <w:left w:val="single" w:sz="1" w:space="0" w:color="000000"/>
                    <w:bottom w:val="single" w:sz="1" w:space="0" w:color="000000"/>
                    <w:right w:val="single" w:sz="1" w:space="0" w:color="000000"/>
                  </w:tcBorders>
                  <w:tcMar>
                    <w:top w:w="0" w:type="dxa"/>
                    <w:left w:w="0" w:type="dxa"/>
                    <w:bottom w:w="0" w:type="dxa"/>
                    <w:right w:w="0" w:type="dxa"/>
                  </w:tcMar>
                </w:tcPr>
                <w:tbl>
                  <w:tblPr>
                    <w:tblLayout w:type="fixed"/>
                  </w:tblPr>
                  <w:tblGrid>
                    <w:gridCol w:w="2480"/>
                    <w:gridCol w:w="2480"/>
                  </w:tblGrid>
                  <w:tr>
                    <w:trPr>
                      <w:trHeight w:hRule="exact" w:val="800"/>
                    </w:trPr>
                    <w:tc>
                      <w:tcPr>
                        <w:shd w:val="clear" w:color="auto" w:fill="FFFFFF"/>
                        <w:tcMar>
                          <w:top w:w="0" w:type="dxa"/>
                          <w:left w:w="0" w:type="dxa"/>
                          <w:bottom w:w="0" w:type="dxa"/>
                          <w:right w:w="0" w:type="dxa"/>
                        </w:tcMar>
                        <w:vAlign w:val="center"/>
                      </w:tcPr>
                      <w:p>
                        <w:pPr>
                          <w:pStyle w:val="Table_TH"/>
                          <w:ind/>
                          <w:jc w:val="center"/>
                        </w:pPr>
                        <w:r>
                          <w:rPr>
                            <w:rFonts w:ascii="宋体" w:hAnsi="宋体" w:eastAsia="宋体" w:cs="宋体"/>
                            <w:sz w:val="24"/>
                          </w:rPr>
                          <w:t xml:space="preserve">56.84</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三、产品持仓十大资产</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0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截至2024年9月30日，本产品持仓前十大资产市值合计2,138.35万元，占全部持仓资产规模合计82.96%。产品持仓前十大资产如下：</w:t>
            </w: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7"/>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2600"/>
              <w:gridCol w:w="2600"/>
            </w:tblGrid>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资产名称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持仓市值（万元）</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b w:val="true"/>
                          </w:rPr>
                          <w:t xml:space="preserve">占比（%）</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22泸州银行二级资本债01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237.69</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9.22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22湖州银行二级01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235.66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9.14</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22汉口银行二级01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232.75</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9.03</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22长沙农商行二级资本债01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227.17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22威海商行二级资本债01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226.80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8.80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央企创新驱动ETF</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222.00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8.61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现金</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214.51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8.32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20秦皇岛银行二级01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203.77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7.91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22湖北银行二级</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172.41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6.69</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400"/>
                    <w:gridCol w:w="34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东方财富证券吉祥冀德3号收益凭证</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165.60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600"/>
                    <w:gridCol w:w="2600"/>
                  </w:tblGrid>
                  <w:tr>
                    <w:trPr>
                      <w:trHeight w:hRule="exact" w:val="600"/>
                    </w:trPr>
                    <w:tc>
                      <w:tcPr>
                        <w:tcMar>
                          <w:top w:w="0" w:type="dxa"/>
                          <w:left w:w="0" w:type="dxa"/>
                          <w:bottom w:w="0" w:type="dxa"/>
                          <w:right w:w="0" w:type="dxa"/>
                        </w:tcMar>
                        <w:vAlign w:val="center"/>
                      </w:tcPr>
                      <w:p>
                        <w:pPr>
                          <w:ind/>
                          <w:jc w:val="center"/>
                        </w:pPr>
                        <w:r>
                          <w:rPr>
                            <w:rFonts w:ascii="宋体" w:hAnsi="宋体" w:eastAsia="宋体" w:cs="宋体"/>
                            <w:color w:val="000000"/>
                            <w:sz w:val="24"/>
                          </w:rPr>
                          <w:t xml:space="preserve">6.43</w:t>
                        </w:r>
                      </w:p>
                    </w:tc>
                  </w:tr>
                </w:tbl>
                <w:p>
                  <w:pPr>
                    <w:pStyle w:val="EMPTY_CELL_STYLE"/>
                  </w:pPr>
                </w:p>
              </w:tc>
            </w:tr>
          </w:tbl>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四、理财产品业绩表现</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17"/>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截至2024年9月30日，本产品存续份额为24,050,000.00份，持有资产总规模为25,772,701.36元，产品资产净值为25,739,596.34元，单位净值为1.0703元，累计单位净值为1.0703元。本报告期内产品单位净值上涨-0.0025元，自成立以来产品单位净值上涨0.0703元，成立至今实现年化收益率为8.1718%。</w:t>
            </w:r>
          </w:p>
        </w:tc>
        <w:tc>
          <w:tcPr>
     </w:tcPr>
          <w:p>
            <w:pPr>
              <w:pStyle w:val="EMPTY_CELL_STYLE"/>
            </w:pPr>
          </w:p>
        </w:tc>
      </w:tr>
      <w:tr>
        <w:trPr>
          <w:trHeight w:hRule="exact" w:val="6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五、产品组合流动性风险分析</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Pr>
          <w:p>
            <w:pPr>
              <w:pStyle w:val="EMPTY_CELL_STYLE"/>
            </w:pPr>
          </w:p>
        </w:tc>
        <w:tc>
          <w:tcPr>
     </w:tcPr>
          <w:p>
            <w:pPr>
              <w:pStyle w:val="EMPTY_CELL_STYLE"/>
            </w:pPr>
          </w:p>
        </w:tc>
      </w:tr>
      <w:tr>
        <w:trPr>
          <w:trHeight w:hRule="exact" w:val="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3"/>
            <w:tcMar>
              <w:top w:w="0" w:type="dxa"/>
              <w:left w:w="0" w:type="dxa"/>
              <w:bottom w:w="0" w:type="dxa"/>
              <w:right w:w="0" w:type="dxa"/>
            </w:tcMar>
            <w:vAlign w:val="top"/>
          </w:tcPr>
          <w:p>
            <w:pPr>
              <w:ind/>
            </w:pPr>
            <w:r>
              <w:rPr>
                <w:rFonts w:ascii="宋体" w:hAnsi="宋体" w:eastAsia="宋体" w:cs="宋体"/>
                <w:color w:val="000000"/>
                <w:sz w:val="24"/>
              </w:rPr>
              <w:t xml:space="preserve">六、本报告期主要操作回顾</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780"/>
        </w:trPr>
        <w:tc>
          <w:tcPr>
     </w:tcPr>
          <w:p>
            <w:pPr>
              <w:pStyle w:val="EMPTY_CELL_STYLE"/>
            </w:pPr>
          </w:p>
        </w:tc>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Pr>
          <w:p>
            <w:pPr>
              <w:pStyle w:val="EMPTY_CELL_STYLE"/>
            </w:pPr>
          </w:p>
        </w:tc>
        <w:tc>
          <w:tcPr>
     </w:tcPr>
          <w:p>
            <w:pPr>
              <w:pStyle w:val="EMPTY_CELL_STYLE"/>
            </w:pPr>
          </w:p>
        </w:tc>
      </w:tr>
      <w:tr>
        <w:trPr>
          <w:trHeight w:hRule="exact" w:val="32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right"/>
            </w:pPr>
            <w:r>
              <w:rPr>
                <w:rFonts w:ascii="宋体" w:hAnsi="宋体" w:eastAsia="宋体" w:cs="宋体"/>
                <w:color w:val="000000"/>
                <w:sz w:val="24"/>
              </w:rPr>
              <w:t xml:space="preserve">承德银行股份有限公司</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gridSpan w:val="8"/>
            <w:tcMar>
              <w:top w:w="0" w:type="dxa"/>
              <w:left w:w="0" w:type="dxa"/>
              <w:bottom w:w="0" w:type="dxa"/>
              <w:right w:w="0" w:type="dxa"/>
            </w:tcMar>
            <w:vAlign w:val="top"/>
          </w:tcPr>
          <w:p>
            <w:pPr>
              <w:ind/>
              <w:jc w:val="right"/>
            </w:pPr>
            <w:r>
              <w:rPr>
                <w:rFonts w:ascii="宋体" w:hAnsi="宋体" w:eastAsia="宋体" w:cs="宋体"/>
                <w:color w:val="000000"/>
                <w:sz w:val="24"/>
              </w:rPr>
              <w:t xml:space="preserve">2024年9月30日</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b w:val="true"/>
              </w:rPr>
              <w:t xml:space="preserve"> 免责声明</w:t>
            </w:r>
          </w:p>
        </w:tc>
        <w:tc>
          <w:tcPr>
     </w:tcPr>
          <w:p>
            <w:pPr>
              <w:pStyle w:val="EMPTY_CELL_STYLE"/>
            </w:pPr>
          </w:p>
        </w:tc>
        <w:tc>
          <w:tcPr>
     </w:tcPr>
          <w:p>
            <w:pPr>
              <w:pStyle w:val="EMPTY_CELL_STYLE"/>
            </w:pPr>
          </w:p>
        </w:tc>
        <w:tc>
          <w:tcPr>
     </w:tcPr>
          <w:p>
            <w:pPr>
              <w:pStyle w:val="EMPTY_CELL_STYLE"/>
            </w:pPr>
          </w:p>
        </w:tc>
      </w:tr>
      <w:tr>
        <w:trPr>
          <w:trHeight w:hRule="exact" w:val="16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880"/>
        </w:trPr>
        <w:tc>
          <w:tcPr>
     </w:tcPr>
          <w:p>
            <w:pPr>
              <w:pStyle w:val="EMPTY_CELL_STYLE"/>
            </w:pPr>
          </w:p>
        </w:tc>
        <w:tc>
          <w:tcPr>
            <w:gridSpan w:val="18"/>
            <w:tcMar>
              <w:top w:w="0" w:type="dxa"/>
              <w:left w:w="0" w:type="dxa"/>
              <w:bottom w:w="0" w:type="dxa"/>
              <w:right w:w="0" w:type="dxa"/>
            </w:tcMar>
            <w:vAlign w:val="top"/>
          </w:tcPr>
          <w:p>
            <w:pPr>
              <w:ind/>
              <w:jc w:val="left"/>
              <w:spacing w:lineRule="exact" w:line="300" w:after="0" w:before="0"/>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b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br/>
              <w:t xml:space="preserve">    管理人承德银行股份有限公司对于本免责声明条款具有修改和最终解释权。</w:t>
            </w:r>
          </w:p>
        </w:tc>
        <w:tc>
          <w:tcPr>
     </w:tcPr>
          <w:p>
            <w:pPr>
              <w:pStyle w:val="EMPTY_CELL_STYLE"/>
            </w:pPr>
          </w:p>
        </w:tc>
        <w:tc>
          <w:tcPr>
     </w:tcPr>
          <w:p>
            <w:pPr>
              <w:pStyle w:val="EMPTY_CELL_STYLE"/>
            </w:pPr>
          </w:p>
        </w:tc>
        <w:tc>
          <w:tcPr>
     </w:tcPr>
          <w:p>
            <w:pPr>
              <w:pStyle w:val="EMPTY_CELL_STYLE"/>
            </w:pPr>
          </w:p>
        </w:tc>
      </w:tr>
    </w:tbl>
    <w:sectPr>
      <w:pgSz w:w="11900" w:h="44460" w:orient="portrait" w:code="3818"/>
      <w:pgMar w:top="220" w:right="1400" w:bottom="1080" w:left="1420" w:header="0" w:footer="0" w:gutter="0"/>
      <w:docGrid w:linePitch="360"/>
    </w:sectPr>
  </w:body>
</w:document>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 w:type="paragraph" w:styleId="Table_CD">
    <w:name w:val="Table_CD"/>
    <w:qFormat/>
    <w:pPr>
      <w:ind/>
    </w:pPr>
    <w:rPr>
      <w:rFonts w:ascii="SansSerif" w:hAnsi="SansSerif" w:eastAsia="SansSerif" w:cs="SansSerif"/>
      <w:color w:val="000000"/>
      <w:sz w:val="20"/>
    </w:rPr>
  </w:style>
</w:style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s>

</file>

<file path=docProps/app.xml><?xml version="1.0" encoding="utf-8"?>
<Properties xmlns="http://schemas.openxmlformats.org/officeDocument/2006/extended-properties">
  <Application>JasperReports Library version 6.6.0</Applicat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coreProperties>
</file>