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“承德银行承溢盈人民币理财产品第二百零三期”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2024年第二季度运作情况报告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承德银行承溢盈人民币理财产品第二百零三期（产品代码CYY0203）其关键要素如下：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C1089223000081</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2023年9月27日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2024年10月15日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384天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3.50%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截至2024年6月30日，本产品投资的持仓资产结构如下：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1.57</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12.12</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信托产品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86.31</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截至2024年6月30日，本产品持仓前十大资产市值合计1,423.48万元，占全部持仓资产规模合计80.88%。产品持仓前十大资产如下：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235.86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13.40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22海陵G1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178.37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hint="eastAsia" w:ascii="宋体" w:hAnsi="宋体" w:eastAsia="宋体" w:cs="宋体"/>
                            <w:color w:val="000000"/>
                            <w:sz w:val="24"/>
                            <w:lang w:val="en-US" w:eastAsia="zh-CN"/>
                          </w:rPr>
                          <w:t>8</w:t>
                        </w:r>
                        <w:r>
                          <w:rPr>
                            <w:rFonts w:ascii="宋体" w:hAnsi="宋体" w:eastAsia="宋体" w:cs="宋体"/>
                            <w:color w:val="000000"/>
                            <w:sz w:val="24"/>
                          </w:rPr>
                          <w:t>.13</w:t>
                        </w:r>
                        <w:bookmarkStart w:id="1" w:name="_GoBack"/>
                        <w:bookmarkEnd w:id="1"/>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23仪征01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134.62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7.65</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23淮开06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134.27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7.63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23金海02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134.15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7.62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23镇交01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133.36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7.58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23句容02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133.36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7.58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23金坛01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121.24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6.89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24盐投03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109.12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6.20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20淮高01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109.12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6.20</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6月30日，本产品存续份额为17,020,000.00份，持有资产总规模为17,601,278.72元，产品资产净值为17,580,537.14元，单位净值为1.0329元，累计单位净值为1.0329元。本报告期内产品单位净值上涨-0.0131元，自成立以来产品单位净值上涨0.0329元，成立至今实现年化收益率为4.3196%。</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2024年6月30日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269836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2024-07-11T02:36:13Z</dcterms:created>
  <dc:creator>huawei</dc:creator>
  <cp:lastModifiedBy>赵荆伟</cp:lastModifiedBy>
  <dcterms:modified xsi:type="dcterms:W3CDTF">2024-07-11T02:36:23Z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