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承德银行承溢盈人民币理财产品第二百期（产品代码CYY0200）其关键要素如下：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31.05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68.67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截至2024年6月30日，本产品持仓前十大资产市值合计485.94万元，占全部持仓资产规模合计62.71%。产品持仓前十大资产如下：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7,431,000.00份，持有资产总规模为7,749,317.91元，产品资产净值为7,739,992.61元，单位净值为1.0416元，累计单位净值为1.0416元。本报告期内产品单位净值上涨-0.0151元，自成立以来产品单位净值上涨0.0416元，成立至今实现年化收益率为5.3277%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