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“承德银行承溢盈人民币理财产品第二百四十六期”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承德银行承溢盈人民币理财产品第二百四十六期（产品代码CYY0246）其关键要素如下：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C1089224000013</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2024年2月28日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2025年3月11日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377天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3.25%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4.55</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收益凭证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6.61</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公募基金</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股票基金</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7.43</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81.41</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截至2024年6月30日，本产品持仓前十大资产市值合计2,738.43万元，占全部持仓资产规模合计100.40%。产品持仓前十大资产如下：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1,029.78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37.75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220.53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8.08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220.18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8.07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219.99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8.07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217.86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银华中证创新药产业ETF</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202.62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7.43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185.11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东方财富证券吉祥冀德3号收益凭证</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180.24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132.22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23成都银行二级资本债01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129.91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4.76</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26,281,000.00份，持有资产总规模为27,276,493.81元，产品资产净值为27,244,351.77元，单位净值为1.0367元，累计单位净值为1.0367元。本报告期内产品单位净值上涨0.0336元，自成立以来产品单位净值上涨0.0367元，成立至今实现年化收益率为10.8028%。</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860" w:orient="portrait" w:code="373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