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承德银行承溢盈人民币理财产品第二百四十五期（产品代码CYY0245）其关键要素如下：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188天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39.84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59.86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截至2024年6月30日，本产品持仓前十大资产市值合计1,271.43万元，占全部持仓资产规模合计62.73%。产品持仓前十大资产如下：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285.34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102.84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19,999,000.00份，持有资产总规模为20,264,690.42元，产品资产净值为20,237,883.65元，单位净值为1.0119元，累计单位净值为1.0119元。本报告期内产品单位净值上涨0.0108元，自成立以来产品单位净值上涨0.0119元，成立至今实现年化收益率为3.5028%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