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“承德银行承溢盈人民币理财产品第二百五十期”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承德银行承溢盈人民币理财产品第二百五十期（产品代码CYY0250）其关键要素如下：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C1089224000017</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2024年3月13日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2024年9月3日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174天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2.75%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1.16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37.00</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61.84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截至2024年6月30日，本产品持仓前十大资产市值合计367.46万元，占全部持仓资产规模合计64.76%。产品持仓前十大资产如下：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63.48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11.19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22海陵G1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41.20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7.26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34.69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23成都银行二级资本债01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34.08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33.88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33.65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23浙商银行二级资本债01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33.38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23仪征01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31.09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23淮开06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31.01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23金海02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30.99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5.46</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5,654,000.00份，持有资产总规模为5,673,560.04元，产品资产净值为5,667,425.34元，单位净值为1.0024元，累计单位净值为1.0024元。本报告期内产品单位净值上涨0.0009元，自成立以来产品单位净值上涨0.0024元，成立至今实现年化收益率为0.7964%。</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