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承德银行承溢盈人民币理财产品第二百五十四期（产品代码CYY0254）其关键要素如下：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56.60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截至2024年6月30日，本产品持仓前十大资产市值合计708.82万元，占全部持仓资产规模合计75.19%。产品持仓前十大资产如下：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9,000,000.00份，持有资产总规模为9,427,772.24元，产品资产净值为9,419,339.09元，单位净值为1.0466元，累计单位净值为1.0466元。本报告期内产品单位净值上涨0.0464元，自成立以来产品单位净值上涨0.0466元，成立至今实现年化收益率为17.9042%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