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“承德银行承溢盈人民币理财产品第二百五十三期”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承德银行承溢盈人民币理财产品第二百五十三期（产品代码CYY0253）其关键要素如下：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C1089224000020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2024年3月28日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2025年4月15日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383天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3.15%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0.30</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非标准化债权类资产</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收益凭证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4.97</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公募基金</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股票基金</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7.96</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28.08</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58.69</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截至2024年6月30日，本产品持仓前十大资产市值合计3,162.91万元，占全部持仓资产规模合计87.24%。产品持仓前十大资产如下：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1,070.61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29.53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银华中证创新药产业ETF</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288.58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7.96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282.12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281.68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281.44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278.71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7.69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236.81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6.53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东方财富证券吉祥冀德3号收益凭证</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180.24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4.97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3.95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22海陵G1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119.52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3.30</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35,000,000.00份，持有资产总规模为36,252,531.55元，产品资产净值为36,219,736.60元，单位净值为1.0348元，累计单位净值为1.0348元。本报告期内产品单位净值上涨0.0346元，自成立以来产品单位净值上涨0.0348元，成立至今实现年化收益率为13.3705%。</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3660" w:orient="portrait" w:code="377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