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“承德银行承溢盈人民币理财产品第二百五十七期”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2024年第二季度运作情况报告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承德银行承溢盈人民币理财产品第二百五十七期（产品代码CYY0257）其关键要素如下：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C1089224000024</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2024年4月3日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2024年10月15日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195天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2.80%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截至2024年6月30日，本产品投资的持仓资产结构如下：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4.99</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非标准化债权类资产</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收益凭证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16.54</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78.47</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截至2024年6月30日，本产品持仓前十大资产市值合计662.76万元，占全部持仓资产规模合计81.09%。产品持仓前十大资产如下：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东方财富证券吉祥冀德3号收益凭证</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135.18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16.54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118.93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14.55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56.75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6.94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56.66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6.93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56.62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6.93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56.07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6.86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47.64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5.83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23东莞银行二级资本债01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45.59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5.58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23成都银行二级资本债01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44.79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5.48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23苏州银行二级01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44.53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5.45</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存续份额为7,931,000.00份，持有资产总规模为8,173,530.81元，产品资产净值为8,166,569.23元，单位净值为1.0297元，累计单位净值为1.0297元。本报告期内产品单位净值上涨0.0297元，自成立以来产品单位净值上涨0.0297元，成立至今实现年化收益率为12.1803%。</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2024年6月30日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060" w:orient="portrait" w:code="369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