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承德银行承溢盈人民币理财产品第二百五十一期（产品代码CYY0251）其关键要素如下：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3.92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36.51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59.57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截至2024年6月30日，本产品持仓前十大资产市值合计486.02万元，占全部持仓资产规模合计78.96%。产品持仓前十大资产如下：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5,866,000.00份，持有资产总规模为6,155,221.01元，产品资产净值为6,149,261.43元，单位净值为1.0483元，累计单位净值为1.0483元。本报告期内产品单位净值上涨0.0479元，自成立以来产品单位净值上涨0.0483元，成立至今实现年化收益率为17.116%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