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tiff" ContentType="image/tif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“承德银行承溢盈人民币理财产品第二百二十三期”</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2024年第二季度运作情况报告</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一、产品情况介绍</w:t>
            </w: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       （一）产品要素</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承德银行承溢盈人民币理财产品第二百二十三期（产品代码CYY0223）其关键要素如下：</w:t>
            </w:r>
          </w:p>
        </w:tc>
        <w:tc>
          <w:tcPr>
     </w:tcPr>
          <w:p>
            <w:pPr>
              <w:pStyle w:val="EMPTY_CELL_STYLE"/>
            </w:pPr>
          </w:p>
        </w:tc>
        <w:tc>
          <w:tcPr>
     </w:tcPr>
          <w:p>
            <w:pPr>
              <w:pStyle w:val="EMPTY_CELL_STYLE"/>
            </w:pPr>
          </w:p>
        </w:tc>
      </w:tr>
      <w:tr>
        <w:trPr>
          <w:trHeight w:hRule="exact" w:val="1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中债产品登记编码</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spacing w:lineRule="auto" w:line="360" w:after="0" w:before="0"/>
            </w:pPr>
            <w:r>
              <w:rPr>
                <w:rFonts w:ascii="宋体" w:hAnsi="宋体" w:eastAsia="宋体" w:cs="宋体"/>
                <w:color w:val="000000"/>
                <w:sz w:val="24"/>
              </w:rPr>
              <w:t xml:space="preserve">C1089223000101</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起息日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2023年12月6日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到期日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2024年12月3日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产品期限</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363天</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产品投资类型</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固定收益类</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业绩比较基准</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3.45%</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产品管理人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产品托管人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宁波银行北京分行</w:t>
            </w: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pPr>
            <w:r>
              <w:rPr>
                <w:rFonts w:ascii="宋体" w:hAnsi="宋体" w:eastAsia="宋体" w:cs="宋体"/>
                <w:color w:val="000000"/>
                <w:sz w:val="24"/>
              </w:rPr>
              <w:t xml:space="preserve">二、产品持仓状况</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8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jc w:val="left"/>
              <w:spacing w:lineRule="auto" w:line="3600" w:after="0" w:before="0"/>
            </w:pPr>
            <w:r>
              <w:rPr>
                <w:rFonts w:ascii="宋体" w:hAnsi="宋体" w:eastAsia="宋体" w:cs="宋体"/>
                <w:color w:val="000000"/>
                <w:sz w:val="24"/>
              </w:rPr>
              <w:t xml:space="preserve">       截至2024年6月30日，本产品投资的持仓资产结构如下：</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960"/>
              <w:gridCol w:w="2960"/>
              <w:gridCol w:w="2480"/>
            </w:tblGrid>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spacing w:lineRule="auto" w:line="240" w:after="0" w:before="0"/>
                        </w:pPr>
                        <w:r>
                          <w:rPr>
                            <w:rFonts w:ascii="宋体" w:hAnsi="宋体" w:eastAsia="宋体" w:cs="宋体"/>
                            <w:sz w:val="24"/>
                            <w:b w:val="true"/>
                          </w:rPr>
                          <w:t xml:space="preserve">资产类别</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20" w:type="dxa"/>
                  </w:tcMar>
                </w:tcPr>
                <w:tbl>
                  <w:tblPr>
                    <w:tblLayout w:type="fixed"/>
                  </w:tblPr>
                  <w:tblGrid>
                    <w:gridCol w:w="2940"/>
                    <w:gridCol w:w="2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b w:val="true"/>
                          </w:rPr>
                          <w:t xml:space="preserve">具体资产 </w:t>
                        </w:r>
                      </w:p>
                    </w:tc>
                    <w:tc>
                      <w:tcPr>
     </w:tcPr>
                      <w:p>
                        <w:pPr>
                          <w:pStyle w:val="EMPTY_CELL_STYLE"/>
                        </w:pP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0.60</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非标准化债权类资产</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收益凭证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7.77</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信托产品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32.24</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券商资产管理产品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59.39</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三、产品持仓十大资产</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截至2024年6月30日，本产品持仓前十大资产市值合计1,048.34万元，占全部持仓资产规模合计78.59%。产品持仓前十大资产如下：</w:t>
            </w: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7"/>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2600"/>
              <w:gridCol w:w="2600"/>
            </w:tblGrid>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资产名称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持仓市值（万元）</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现金</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200.29</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15.01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22长沙农商行二级资本债01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123.01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9.22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22湖州银行二级01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122.82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9.21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22威海商行二级资本债01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122.72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9.20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22汉口银行二级01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121.52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9.11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东方财富证券吉祥冀德3号收益凭证</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103.64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7.77</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22泸州银行二级资本债01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103.25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7.74</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22湖北银行二级</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62.44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4.68</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22海陵G1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50.51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3.79</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23仪征01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38.12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2.86</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四、理财产品业绩表现</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2024年6月30日，本产品存续份额为12,205,000.00份，持有资产总规模为13,342,658.22元，产品资产净值为13,331,530.22元，单位净值为1.0923元，累计单位净值为1.0923元。本报告期内产品单位净值上涨0.0451元，自成立以来产品单位净值上涨0.0923元，成立至今实现年化收益率为16.1969%。</w:t>
            </w:r>
          </w:p>
        </w:tc>
        <w:tc>
          <w:tcPr>
     </w:tcPr>
          <w:p>
            <w:pPr>
              <w:pStyle w:val="EMPTY_CELL_STYLE"/>
            </w:pPr>
          </w:p>
        </w:tc>
      </w:tr>
      <w:tr>
        <w:trPr>
          <w:trHeight w:hRule="exact" w:val="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五、产品组合流动性风险分析</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Pr>
          <w:p>
            <w:pPr>
              <w:pStyle w:val="EMPTY_CELL_STYLE"/>
            </w:pPr>
          </w:p>
        </w:tc>
        <w:tc>
          <w:tcPr>
     </w:tcPr>
          <w:p>
            <w:pPr>
              <w:pStyle w:val="EMPTY_CELL_STYLE"/>
            </w:pPr>
          </w:p>
        </w:tc>
      </w:tr>
      <w:tr>
        <w:trPr>
          <w:trHeight w:hRule="exact" w:val="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六、本报告期主要操作回顾</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8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Pr>
          <w:p>
            <w:pPr>
              <w:pStyle w:val="EMPTY_CELL_STYLE"/>
            </w:pPr>
          </w:p>
        </w:tc>
        <w:tc>
          <w:tcPr>
     </w:tcPr>
          <w:p>
            <w:pPr>
              <w:pStyle w:val="EMPTY_CELL_STYLE"/>
            </w:pPr>
          </w:p>
        </w:tc>
      </w:tr>
      <w:tr>
        <w:trPr>
          <w:trHeight w:hRule="exact" w:val="3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righ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8"/>
            <w:tcMar>
              <w:top w:w="0" w:type="dxa"/>
              <w:left w:w="0" w:type="dxa"/>
              <w:bottom w:w="0" w:type="dxa"/>
              <w:right w:w="0" w:type="dxa"/>
            </w:tcMar>
            <w:vAlign w:val="top"/>
          </w:tcPr>
          <w:p>
            <w:pPr>
              <w:ind/>
              <w:jc w:val="right"/>
            </w:pPr>
            <w:r>
              <w:rPr>
                <w:rFonts w:ascii="宋体" w:hAnsi="宋体" w:eastAsia="宋体" w:cs="宋体"/>
                <w:color w:val="000000"/>
                <w:sz w:val="24"/>
              </w:rPr>
              <w:t xml:space="preserve">2024年6月30日</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b w:val="true"/>
              </w:rPr>
              <w:t xml:space="preserve"> 免责声明</w:t>
            </w:r>
          </w:p>
        </w:tc>
        <w:tc>
          <w:tcPr>
     </w:tcPr>
          <w:p>
            <w:pPr>
              <w:pStyle w:val="EMPTY_CELL_STYLE"/>
            </w:pPr>
          </w:p>
        </w:tc>
        <w:tc>
          <w:tcPr>
     </w:tcPr>
          <w:p>
            <w:pPr>
              <w:pStyle w:val="EMPTY_CELL_STYLE"/>
            </w:pPr>
          </w:p>
        </w:tc>
        <w:tc>
          <w:tcPr>
     </w:tcPr>
          <w:p>
            <w:pPr>
              <w:pStyle w:val="EMPTY_CELL_STYLE"/>
            </w:pPr>
          </w:p>
        </w:tc>
      </w:tr>
      <w:tr>
        <w:trPr>
          <w:trHeight w:hRule="exact" w:val="1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88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本报告内容仅供报告阅读者参考，一切商业决策均将由报告阅读者综合各方信息后自行作出，对于本报告所提供的信息导致的任何直接或间接的后果，管理人承德银行股份有限公司不承担任何责任。</w:t>
              <w:b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有限公司，且不得对本报告进行有悖原意的引用、删节和修改。</w:t>
              <w:br/>
              <w:t xml:space="preserve">    管理人承德银行股份有限公司对于本免责声明条款具有修改和最终解释权。</w:t>
            </w:r>
          </w:p>
        </w:tc>
        <w:tc>
          <w:tcPr>
     </w:tcPr>
          <w:p>
            <w:pPr>
              <w:pStyle w:val="EMPTY_CELL_STYLE"/>
            </w:pPr>
          </w:p>
        </w:tc>
        <w:tc>
          <w:tcPr>
     </w:tcPr>
          <w:p>
            <w:pPr>
              <w:pStyle w:val="EMPTY_CELL_STYLE"/>
            </w:pPr>
          </w:p>
        </w:tc>
        <w:tc>
          <w:tcPr>
     </w:tcPr>
          <w:p>
            <w:pPr>
              <w:pStyle w:val="EMPTY_CELL_STYLE"/>
            </w:pPr>
          </w:p>
        </w:tc>
      </w:tr>
    </w:tbl>
    <w:sectPr>
      <w:pgSz w:w="11900" w:h="42860" w:orient="portrait" w:code="3738"/>
      <w:pgMar w:top="220" w:right="1400" w:bottom="1080" w:left="1420" w:header="0" w:footer="0" w:gutter="0"/>
      <w:docGrid w:linePitch="360"/>
    </w:sectPr>
  </w:body>
</w:document>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 w:type="paragraph" w:styleId="Table_CD">
    <w:name w:val="Table_CD"/>
    <w:qFormat/>
    <w:pPr>
      <w:ind/>
    </w:pPr>
    <w:rPr>
      <w:rFonts w:ascii="SansSerif" w:hAnsi="SansSerif" w:eastAsia="SansSerif" w:cs="SansSerif"/>
      <w:color w:val="000000"/>
      <w:sz w:val="20"/>
    </w:rPr>
  </w:style>
</w:styles>
</file>

<file path=word/_rels/document.xml.rels><?xml version="1.0" encoding="UTF-8"?>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s>

</file>

<file path=docProps/app.xml><?xml version="1.0" encoding="utf-8"?>
<Properties xmlns="http://schemas.openxmlformats.org/officeDocument/2006/extended-properties">
  <Application>JasperReports Library version 6.6.0</Applicat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coreProperties>
</file>