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“承德银行承溢盈人民币理财产品第二百二十七期”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2024年第二季度运作情况报告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承德银行承溢盈人民币理财产品第二百二十七期（产品代码CYY0227）其关键要素如下：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C1089223000105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2023年12月12日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2024年8月13日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245天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3.10%</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截至2024年6月30日，本产品投资的持仓资产结构如下：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0.20</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信托产品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49.56</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50.24</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截至2024年6月30日，本产品持仓前十大资产市值合计468.26万元，占全部持仓资产规模合计60.12%。产品持仓前十大资产如下：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85.46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10.97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23东莞银行二级资本债01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47.07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6.04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23成都银行二级资本债01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46.25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5.94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23苏州银行二级01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45.97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5.90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20威海银行二级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45.66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5.86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22海陵G1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45.32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5.82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23浙商银行二级资本债01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45.29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5.82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R007.IBCJTY00120240626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38.93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5.00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23仪征01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34.20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4.39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23淮开06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34.11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4.38</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存续份额为7,599,000.00份，持有资产总规模为7,787,760.52元，产品资产净值为7,781,031.90元，单位净值为1.0240元，累计单位净值为1.0240元。本报告期内产品单位净值上涨-0.0068元，自成立以来产品单位净值上涨0.024元，成立至今实现年化收益率为4.3366%。</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2024年6月30日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2060" w:orient="portrait" w:code="369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