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tiff" ContentType="image/tif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
<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w:body>
    <w:tbl>
      <w:tblPr>
        <w:tblLayout w:type="fixed"/>
      </w:tblPr>
      <w:tblGrid>
        <w:gridCol w:w="1"/>
        <w:gridCol w:w="20"/>
        <w:gridCol w:w="20"/>
        <w:gridCol w:w="20"/>
        <w:gridCol w:w="80"/>
        <w:gridCol w:w="80"/>
        <w:gridCol w:w="3000"/>
        <w:gridCol w:w="200"/>
        <w:gridCol w:w="60"/>
        <w:gridCol w:w="5020"/>
        <w:gridCol w:w="120"/>
        <w:gridCol w:w="120"/>
        <w:gridCol w:w="60"/>
        <w:gridCol w:w="20"/>
        <w:gridCol w:w="20"/>
        <w:gridCol w:w="20"/>
        <w:gridCol w:w="20"/>
        <w:gridCol w:w="120"/>
        <w:gridCol w:w="20"/>
        <w:gridCol w:w="20"/>
        <w:gridCol w:w="40"/>
        <w:gridCol w:w="1"/>
      </w:tblGrid>
      <w:tr>
        <w:trPr>
          <w:trHeight w:hRule="exact" w:val="0"/>
        </w:trPr>
        <w:tc>
          <w:tcPr>
     </w:tcPr>
          <w:p>
            <w:pPr>
              <w:pStyle w:val="EMPTY_CELL_STYLE"/>
            </w:pPr>
            <w:bookmarkStart w:id="0" w:name="JR_PAGE_ANCHOR_0_1"/>
            <w:bookmarkEnd w:id="0"/>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jc w:val="center"/>
            </w:pPr>
            <w:r>
              <w:rPr>
                <w:rFonts w:ascii="宋体" w:hAnsi="宋体" w:eastAsia="宋体" w:cs="宋体"/>
                <w:color w:val="000000"/>
                <w:sz w:val="36"/>
                <w:b w:val="true"/>
              </w:rPr>
              <w:t xml:space="preserve">  “承德银行承溢盈人民币理财产品第二百三十八期”</w:t>
            </w: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gridSpan w:val="17"/>
            <w:tcMar>
              <w:top w:w="0" w:type="dxa"/>
              <w:left w:w="0" w:type="dxa"/>
              <w:bottom w:w="0" w:type="dxa"/>
              <w:right w:w="0" w:type="dxa"/>
            </w:tcMar>
            <w:vAlign w:val="top"/>
          </w:tcPr>
          <w:p>
            <w:pPr>
              <w:ind/>
              <w:jc w:val="center"/>
            </w:pPr>
            <w:r>
              <w:rPr>
                <w:rFonts w:ascii="宋体" w:hAnsi="宋体" w:eastAsia="宋体" w:cs="宋体"/>
                <w:color w:val="000000"/>
                <w:sz w:val="36"/>
                <w:b w:val="true"/>
              </w:rPr>
              <w:t xml:space="preserve">  2024年第二季度运作情况报告</w:t>
            </w: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pPr>
            <w:r>
              <w:rPr>
                <w:rFonts w:ascii="宋体" w:hAnsi="宋体" w:eastAsia="宋体" w:cs="宋体"/>
                <w:color w:val="000000"/>
                <w:sz w:val="24"/>
              </w:rPr>
              <w:t xml:space="preserve">一、产品情况介绍</w:t>
            </w:r>
          </w:p>
        </w:tc>
        <w:tc>
          <w:tcPr>
     </w:tcPr>
          <w:p>
            <w:pPr>
              <w:pStyle w:val="EMPTY_CELL_STYLE"/>
            </w:pPr>
          </w:p>
        </w:tc>
        <w:tc>
          <w:tcPr>
     </w:tcPr>
          <w:p>
            <w:pPr>
              <w:pStyle w:val="EMPTY_CELL_STYLE"/>
            </w:pPr>
          </w:p>
        </w:tc>
        <w:tc>
          <w:tcPr>
     </w:tcPr>
          <w:p>
            <w:pPr>
              <w:pStyle w:val="EMPTY_CELL_STYLE"/>
            </w:pPr>
          </w:p>
        </w:tc>
      </w:tr>
      <w:tr>
        <w:trPr>
          <w:trHeight w:hRule="exact" w:val="1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pPr>
            <w:r>
              <w:rPr>
                <w:rFonts w:ascii="宋体" w:hAnsi="宋体" w:eastAsia="宋体" w:cs="宋体"/>
                <w:color w:val="000000"/>
                <w:sz w:val="24"/>
              </w:rPr>
              <w:t xml:space="preserve">       （一）产品要素</w:t>
            </w: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6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承德银行承溢盈人民币理财产品第二百三十八期（产品代码CYY0238）其关键要素如下：</w:t>
            </w:r>
          </w:p>
        </w:tc>
        <w:tc>
          <w:tcPr>
     </w:tcPr>
          <w:p>
            <w:pPr>
              <w:pStyle w:val="EMPTY_CELL_STYLE"/>
            </w:pPr>
          </w:p>
        </w:tc>
        <w:tc>
          <w:tcPr>
     </w:tcPr>
          <w:p>
            <w:pPr>
              <w:pStyle w:val="EMPTY_CELL_STYLE"/>
            </w:pPr>
          </w:p>
        </w:tc>
      </w:tr>
      <w:tr>
        <w:trPr>
          <w:trHeight w:hRule="exact" w:val="1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中债产品登记编码</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spacing w:lineRule="auto" w:line="360" w:after="0" w:before="0"/>
            </w:pPr>
            <w:r>
              <w:rPr>
                <w:rFonts w:ascii="宋体" w:hAnsi="宋体" w:eastAsia="宋体" w:cs="宋体"/>
                <w:color w:val="000000"/>
                <w:sz w:val="24"/>
              </w:rPr>
              <w:t xml:space="preserve">C1089224000005</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起息日</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2024年1月24日</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到期日</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2025年2月11日</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产品期限</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384天</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产品投资类型</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固定收益类</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业绩比较基准</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3.30%</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产品管理人</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承德银行股份有限公司</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产品托管人</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宁波银行北京分行</w:t>
            </w:r>
          </w:p>
        </w:tc>
        <w:tc>
          <w:tcPr>
     </w:tcPr>
          <w:p>
            <w:pPr>
              <w:pStyle w:val="EMPTY_CELL_STYLE"/>
            </w:pPr>
          </w:p>
        </w:tc>
        <w:tc>
          <w:tcPr>
     </w:tcPr>
          <w:p>
            <w:pPr>
              <w:pStyle w:val="EMPTY_CELL_STYLE"/>
            </w:pPr>
          </w:p>
        </w:tc>
        <w:tc>
          <w:tcPr>
     </w:tcPr>
          <w:p>
            <w:pPr>
              <w:pStyle w:val="EMPTY_CELL_STYLE"/>
            </w:pPr>
          </w:p>
        </w:tc>
      </w:tr>
      <w:tr>
        <w:trPr>
          <w:trHeight w:hRule="exact" w:val="12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7"/>
            <w:tcMar>
              <w:top w:w="0" w:type="dxa"/>
              <w:left w:w="0" w:type="dxa"/>
              <w:bottom w:w="0" w:type="dxa"/>
              <w:right w:w="0" w:type="dxa"/>
            </w:tcMar>
            <w:vAlign w:val="top"/>
          </w:tcPr>
          <w:p>
            <w:pPr>
              <w:ind/>
            </w:pPr>
            <w:r>
              <w:rPr>
                <w:rFonts w:ascii="宋体" w:hAnsi="宋体" w:eastAsia="宋体" w:cs="宋体"/>
                <w:color w:val="000000"/>
                <w:sz w:val="24"/>
              </w:rPr>
              <w:t xml:space="preserve">二、产品持仓状况</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80"/>
        </w:trPr>
        <w:tc>
          <w:tcPr>
     </w:tcPr>
          <w:p>
            <w:pPr>
              <w:pStyle w:val="EMPTY_CELL_STYLE"/>
            </w:pPr>
          </w:p>
        </w:tc>
        <w:tc>
          <w:tcPr>
     </w:tcPr>
          <w:p>
            <w:pPr>
              <w:pStyle w:val="EMPTY_CELL_STYLE"/>
            </w:pPr>
          </w:p>
        </w:tc>
        <w:tc>
          <w:tcPr>
     </w:tcPr>
          <w:p>
            <w:pPr>
              <w:pStyle w:val="EMPTY_CELL_STYLE"/>
            </w:pPr>
          </w:p>
        </w:tc>
        <w:tc>
          <w:tcPr>
            <w:gridSpan w:val="7"/>
            <w:tcMar>
              <w:top w:w="0" w:type="dxa"/>
              <w:left w:w="0" w:type="dxa"/>
              <w:bottom w:w="0" w:type="dxa"/>
              <w:right w:w="0" w:type="dxa"/>
            </w:tcMar>
            <w:vAlign w:val="top"/>
          </w:tcPr>
          <w:p>
            <w:pPr>
              <w:ind/>
              <w:jc w:val="left"/>
              <w:spacing w:lineRule="auto" w:line="3600" w:after="0" w:before="0"/>
            </w:pPr>
            <w:r>
              <w:rPr>
                <w:rFonts w:ascii="宋体" w:hAnsi="宋体" w:eastAsia="宋体" w:cs="宋体"/>
                <w:color w:val="000000"/>
                <w:sz w:val="24"/>
              </w:rPr>
              <w:t xml:space="preserve">       截至2024年6月30日，本产品投资的持仓资产结构如下：</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2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5"/>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960"/>
              <w:gridCol w:w="2960"/>
              <w:gridCol w:w="2480"/>
            </w:tblGrid>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spacing w:lineRule="auto" w:line="240" w:after="0" w:before="0"/>
                        </w:pPr>
                        <w:r>
                          <w:rPr>
                            <w:rFonts w:ascii="宋体" w:hAnsi="宋体" w:eastAsia="宋体" w:cs="宋体"/>
                            <w:sz w:val="24"/>
                            <w:b w:val="true"/>
                          </w:rPr>
                          <w:t xml:space="preserve">资产类别</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20" w:type="dxa"/>
                  </w:tcMar>
                </w:tcPr>
                <w:tbl>
                  <w:tblPr>
                    <w:tblLayout w:type="fixed"/>
                  </w:tblPr>
                  <w:tblGrid>
                    <w:gridCol w:w="2940"/>
                    <w:gridCol w:w="2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b w:val="true"/>
                          </w:rPr>
                          <w:t xml:space="preserve">具体资产 </w:t>
                        </w:r>
                      </w:p>
                    </w:tc>
                    <w:tc>
                      <w:tcPr>
     </w:tcPr>
                      <w:p>
                        <w:pPr>
                          <w:pStyle w:val="EMPTY_CELL_STYLE"/>
                        </w:pP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占比（%）</w:t>
                        </w:r>
                      </w:p>
                    </w:tc>
                  </w:tr>
                </w:tbl>
                <w:p>
                  <w:pPr>
                    <w:pStyle w:val="EMPTY_CELL_STYLE"/>
                  </w:pPr>
                </w:p>
              </w:tc>
            </w:tr>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现金及活期存款</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20" w:type="dxa"/>
                        </w:tcMar>
                        <w:vAlign w:val="center"/>
                      </w:tcPr>
                      <w:p>
                        <w:pPr>
                          <w:pStyle w:val="Table_TH"/>
                          <w:ind/>
                          <w:jc w:val="center"/>
                        </w:pPr>
                        <w:r>
                          <w:rPr>
                            <w:rFonts w:ascii="宋体" w:hAnsi="宋体" w:eastAsia="宋体" w:cs="宋体"/>
                            <w:sz w:val="24"/>
                          </w:rPr>
                          <w:t xml:space="preserve">现金及活期存款</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0.32</w:t>
                        </w:r>
                      </w:p>
                    </w:tc>
                  </w:tr>
                </w:tbl>
                <w:p>
                  <w:pPr>
                    <w:pStyle w:val="EMPTY_CELL_STYLE"/>
                  </w:pPr>
                </w:p>
              </w:tc>
            </w:tr>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资产管理产品</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20" w:type="dxa"/>
                        </w:tcMar>
                        <w:vAlign w:val="center"/>
                      </w:tcPr>
                      <w:p>
                        <w:pPr>
                          <w:pStyle w:val="Table_TH"/>
                          <w:ind/>
                          <w:jc w:val="center"/>
                        </w:pPr>
                        <w:r>
                          <w:rPr>
                            <w:rFonts w:ascii="宋体" w:hAnsi="宋体" w:eastAsia="宋体" w:cs="宋体"/>
                            <w:sz w:val="24"/>
                          </w:rPr>
                          <w:t xml:space="preserve">信托产品</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38.11</w:t>
                        </w:r>
                      </w:p>
                    </w:tc>
                  </w:tr>
                </w:tbl>
                <w:p>
                  <w:pPr>
                    <w:pStyle w:val="EMPTY_CELL_STYLE"/>
                  </w:pPr>
                </w:p>
              </w:tc>
            </w:tr>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资产管理产品</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20" w:type="dxa"/>
                        </w:tcMar>
                        <w:vAlign w:val="center"/>
                      </w:tcPr>
                      <w:p>
                        <w:pPr>
                          <w:pStyle w:val="Table_TH"/>
                          <w:ind/>
                          <w:jc w:val="center"/>
                        </w:pPr>
                        <w:r>
                          <w:rPr>
                            <w:rFonts w:ascii="宋体" w:hAnsi="宋体" w:eastAsia="宋体" w:cs="宋体"/>
                            <w:sz w:val="24"/>
                          </w:rPr>
                          <w:t xml:space="preserve">券商资产管理产品</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61.57</w:t>
                        </w:r>
                      </w:p>
                    </w:tc>
                  </w:tr>
                </w:tbl>
                <w:p>
                  <w:pPr>
                    <w:pStyle w:val="EMPTY_CELL_STYLE"/>
                  </w:pPr>
                </w:p>
              </w:tc>
            </w:tr>
          </w:tbl>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三、产品持仓十大资产</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0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截至2024年6月30日，本产品持仓前十大资产市值合计848.71万元，占全部持仓资产规模合计48.40%。产品持仓前十大资产如下：</w:t>
            </w: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7"/>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2600"/>
              <w:gridCol w:w="2600"/>
            </w:tblGrid>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资产名称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持仓市值（万元）</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占比（%）</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现金</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219.27</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12.50</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22海陵G1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78.47</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4.47</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22长沙农商行二级资本债01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77.47</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4.42</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22湖州银行二级01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77.35</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4.41</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22威海商行二级资本债01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77.28</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4.41</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22汉口银行二级01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76.54</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4.36</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22泸州银行二级资本债01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65.03</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3.71</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23仪征01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59.22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3.38</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23淮开06</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59.07</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3.37</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23金海02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59.02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3.37</w:t>
                        </w:r>
                      </w:p>
                    </w:tc>
                  </w:tr>
                </w:tbl>
                <w:p>
                  <w:pPr>
                    <w:pStyle w:val="EMPTY_CELL_STYLE"/>
                  </w:pPr>
                </w:p>
              </w:tc>
            </w:tr>
          </w:tbl>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6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四、理财产品业绩表现</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截至2024年6月30日，本产品存续份额为16,634,000.00份，持有资产总规模为17,536,729.95元，产品资产净值为17,510,644.41元，单位净值为1.0527元，累计单位净值为1.0527元。本报告期内产品单位净值上涨0.0437元，自成立以来产品单位净值上涨0.0527元，成立至今实现年化收益率为12.0978%。</w:t>
            </w:r>
          </w:p>
        </w:tc>
        <w:tc>
          <w:tcPr>
     </w:tcPr>
          <w:p>
            <w:pPr>
              <w:pStyle w:val="EMPTY_CELL_STYLE"/>
            </w:pPr>
          </w:p>
        </w:tc>
      </w:tr>
      <w:tr>
        <w:trPr>
          <w:trHeight w:hRule="exact" w:val="6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五、产品组合流动性风险分析</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8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94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本产品为封闭式产品，报告期内产品管理人合理安排资产配置结构，控制资产久期，严格按照产品说明书约定的投资范围与比例限制实施投资管理。本报告期内，本产品未发生重大流动性风险事件。</w:t>
            </w:r>
          </w:p>
        </w:tc>
        <w:tc>
          <w:tcPr>
     </w:tcPr>
          <w:p>
            <w:pPr>
              <w:pStyle w:val="EMPTY_CELL_STYLE"/>
            </w:pPr>
          </w:p>
        </w:tc>
        <w:tc>
          <w:tcPr>
     </w:tcPr>
          <w:p>
            <w:pPr>
              <w:pStyle w:val="EMPTY_CELL_STYLE"/>
            </w:pPr>
          </w:p>
        </w:tc>
      </w:tr>
      <w:tr>
        <w:trPr>
          <w:trHeight w:hRule="exact" w:val="2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六、本报告期主要操作回顾</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8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本报告期，产品管理人采取稳健的投资策略，通过配置资质优良且久期合理的固收类资产，实现了产品单位净值的稳健增长。</w:t>
            </w:r>
          </w:p>
        </w:tc>
        <w:tc>
          <w:tcPr>
     </w:tcPr>
          <w:p>
            <w:pPr>
              <w:pStyle w:val="EMPTY_CELL_STYLE"/>
            </w:pPr>
          </w:p>
        </w:tc>
        <w:tc>
          <w:tcPr>
     </w:tcPr>
          <w:p>
            <w:pPr>
              <w:pStyle w:val="EMPTY_CELL_STYLE"/>
            </w:pPr>
          </w:p>
        </w:tc>
      </w:tr>
      <w:tr>
        <w:trPr>
          <w:trHeight w:hRule="exact" w:val="32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right"/>
            </w:pPr>
            <w:r>
              <w:rPr>
                <w:rFonts w:ascii="宋体" w:hAnsi="宋体" w:eastAsia="宋体" w:cs="宋体"/>
                <w:color w:val="000000"/>
                <w:sz w:val="24"/>
              </w:rPr>
              <w:t xml:space="preserve">承德银行股份有限公司</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8"/>
            <w:tcMar>
              <w:top w:w="0" w:type="dxa"/>
              <w:left w:w="0" w:type="dxa"/>
              <w:bottom w:w="0" w:type="dxa"/>
              <w:right w:w="0" w:type="dxa"/>
            </w:tcMar>
            <w:vAlign w:val="top"/>
          </w:tcPr>
          <w:p>
            <w:pPr>
              <w:ind/>
              <w:jc w:val="right"/>
            </w:pPr>
            <w:r>
              <w:rPr>
                <w:rFonts w:ascii="宋体" w:hAnsi="宋体" w:eastAsia="宋体" w:cs="宋体"/>
                <w:color w:val="000000"/>
                <w:sz w:val="24"/>
              </w:rPr>
              <w:t xml:space="preserve">2024年6月30日</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b w:val="true"/>
              </w:rPr>
              <w:t xml:space="preserve"> 免责声明</w:t>
            </w:r>
          </w:p>
        </w:tc>
        <w:tc>
          <w:tcPr>
     </w:tcPr>
          <w:p>
            <w:pPr>
              <w:pStyle w:val="EMPTY_CELL_STYLE"/>
            </w:pPr>
          </w:p>
        </w:tc>
        <w:tc>
          <w:tcPr>
     </w:tcPr>
          <w:p>
            <w:pPr>
              <w:pStyle w:val="EMPTY_CELL_STYLE"/>
            </w:pPr>
          </w:p>
        </w:tc>
        <w:tc>
          <w:tcPr>
     </w:tcPr>
          <w:p>
            <w:pPr>
              <w:pStyle w:val="EMPTY_CELL_STYLE"/>
            </w:pPr>
          </w:p>
        </w:tc>
      </w:tr>
      <w:tr>
        <w:trPr>
          <w:trHeight w:hRule="exact" w:val="1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880"/>
        </w:trPr>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本报告内容仅供报告阅读者参考，一切商业决策均将由报告阅读者综合各方信息后自行作出，对于本报告所提供的信息导致的任何直接或间接的后果，管理人承德银行股份有限公司不承担任何责任。</w:t>
              <w:br/>
              <w:t xml:space="preserve">    本报告版权仅为管理人所有，未经书面许可任何机构和个人不得以任何形式翻版、复制和发表。除非是已被公开出版刊物正式刊登，否则，均应被视为非公开的研讨性分析行为。如引用、刊发，需注明出处为承德银行股份有限公司，且不得对本报告进行有悖原意的引用、删节和修改。</w:t>
              <w:br/>
              <w:t xml:space="preserve">    管理人承德银行股份有限公司对于本免责声明条款具有修改和最终解释权。</w:t>
            </w:r>
          </w:p>
        </w:tc>
        <w:tc>
          <w:tcPr>
     </w:tcPr>
          <w:p>
            <w:pPr>
              <w:pStyle w:val="EMPTY_CELL_STYLE"/>
            </w:pPr>
          </w:p>
        </w:tc>
        <w:tc>
          <w:tcPr>
     </w:tcPr>
          <w:p>
            <w:pPr>
              <w:pStyle w:val="EMPTY_CELL_STYLE"/>
            </w:pPr>
          </w:p>
        </w:tc>
        <w:tc>
          <w:tcPr>
     </w:tcPr>
          <w:p>
            <w:pPr>
              <w:pStyle w:val="EMPTY_CELL_STYLE"/>
            </w:pPr>
          </w:p>
        </w:tc>
      </w:tr>
    </w:tbl>
    <w:sectPr>
      <w:pgSz w:w="11900" w:h="42060" w:orient="portrait" w:code="3698"/>
      <w:pgMar w:top="220" w:right="1400" w:bottom="1080" w:left="1420" w:header="0" w:footer="0" w:gutter="0"/>
      <w:docGrid w:linePitch="360"/>
    </w:sectPr>
  </w:body>
</w:document>
</file>

<file path=word/settings.xml><?xml version="1.0" encoding="utf-8"?>
<w:settings xmlns:w="http://schemas.openxmlformats.org/wordprocessingml/2006/main">
  <w:defaultTabStop w:val="800"/>
</w:settings>
</file>

<file path=word/styles.xml><?xml version="1.0" encoding="utf-8"?>
<w:styles xmlns:r="http://schemas.openxmlformats.org/officeDocument/2006/relationships" xmlns:w="http://schemas.openxmlformats.org/wordprocessingml/2006/main">
  <w:docDefaults>
    <w:rPrDefault>
  </w:rPrDefault>
    <w:pPrDefault>
      <w:pPr>
        <w:spacing w:line="240"/>
      </w:pPr>
    </w:pPrDefault>
  </w:docDefaults>
  <w:style w:type="paragraph" w:styleId="EMPTY_CELL_STYLE">
    <w:name w:val="EMPTY_CELL_STYLE"/>
    <w:qFormat/>
    <w:pPr>
      <w:ind/>
    </w:pPr>
    <w:rPr>
      <w:rFonts w:ascii="SansSerif" w:hAnsi="SansSerif" w:eastAsia="SansSerif" w:cs="SansSerif"/>
      <w:color w:val="000000"/>
      <w:sz w:val="1"/>
    </w:rPr>
  </w:style>
  <w:style w:type="paragraph" w:styleId="Table_TH">
    <w:name w:val="Table_TH"/>
    <w:qFormat/>
    <w:pPr>
      <w:ind/>
    </w:pPr>
    <w:rPr>
      <w:rFonts w:ascii="SansSerif" w:hAnsi="SansSerif" w:eastAsia="SansSerif" w:cs="SansSerif"/>
      <w:color w:val="000000"/>
      <w:sz w:val="20"/>
    </w:rPr>
  </w:style>
  <w:style w:type="paragraph" w:styleId="Table_CH">
    <w:name w:val="Table_CH"/>
    <w:qFormat/>
    <w:pPr>
      <w:ind/>
    </w:pPr>
    <w:rPr>
      <w:rFonts w:ascii="SansSerif" w:hAnsi="SansSerif" w:eastAsia="SansSerif" w:cs="SansSerif"/>
      <w:color w:val="000000"/>
      <w:sz w:val="20"/>
    </w:rPr>
  </w:style>
  <w:style w:type="paragraph" w:styleId="Table_TD">
    <w:name w:val="Table_TD"/>
    <w:qFormat/>
    <w:pPr>
      <w:ind/>
    </w:pPr>
    <w:rPr>
      <w:rFonts w:ascii="SansSerif" w:hAnsi="SansSerif" w:eastAsia="SansSerif" w:cs="SansSerif"/>
      <w:color w:val="000000"/>
      <w:sz w:val="20"/>
    </w:rPr>
  </w:style>
  <w:style w:type="paragraph" w:styleId="Table_CD">
    <w:name w:val="Table_CD"/>
    <w:qFormat/>
    <w:pPr>
      <w:ind/>
    </w:pPr>
    <w:rPr>
      <w:rFonts w:ascii="SansSerif" w:hAnsi="SansSerif" w:eastAsia="SansSerif" w:cs="SansSerif"/>
      <w:color w:val="000000"/>
      <w:sz w:val="20"/>
    </w:rPr>
  </w:style>
</w:styles>
</file>

<file path=word/_rels/document.xml.rels><?xml version="1.0" encoding="UTF-8"?>
<Relationships xmlns="http://schemas.openxmlformats.org/package/2006/relationships">
 <Relationship Id="rId1" Type="http://schemas.openxmlformats.org/officeDocument/2006/relationships/styles" Target="styles.xml"/>
 <Relationship Id="rId2" Type="http://schemas.openxmlformats.org/officeDocument/2006/relationships/settings" Target="settings.xml"/>
</Relationships>

</file>

<file path=docProps/app.xml><?xml version="1.0" encoding="utf-8"?>
<Properties xmlns="http://schemas.openxmlformats.org/officeDocument/2006/extended-properties">
  <Application>JasperReports Library version 6.6.0</Application>
</Properties>
</file>

<file path=docProps/core.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coreProperties>
</file>