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承德银行承溢盈人民币理财产品第二百三十五期（产品代码CYY0235）其关键要素如下：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2024年1月17日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2025年1月21日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3.30%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2.33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37.53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60.14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截至2024年6月30日，本产品持仓前十大资产市值合计1,288.19万元，占全部持仓资产规模合计78.38%。产品持仓前十大资产如下：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288.50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153.09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128.81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15,473,000.00份，持有资产总规模为16,436,716.72元，产品资产净值为16,411,383.46元，单位净值为1.0606元，累计单位净值为1.0606元。本报告期内产品单位净值上涨0.0485元，自成立以来产品单位净值上涨0.0606元，成立至今实现年化收益率为13.3247%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