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2024年第二季度运作情况报告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承德银行承溢盈人民币理财产品第二百七十五期（产品代码CYY0275）其关键要素如下：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2025年1月21日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222天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2.60%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截至2024年6月30日，本产品投资的持仓资产结构如下：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0.52</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3.46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8.85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87.17</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截至2024年6月30日，本产品持仓前十大资产市值合计1,030.69万元，占全部持仓资产规模合计67.91%。产品持仓前十大资产如下：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146.23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22长沙农商行二级资本债01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130.85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130.65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130.53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129.27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8.52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109.83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央企科技ETF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70.97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4.68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66.42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4.38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央企创新驱动ETF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63.36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4.17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52.58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3.46</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6月30日，本产品存续份额为15,027,000.00份，持有资产总规模为15,179,935.00元，产品资产净值为15,176,903.22元，单位净值为1.0100元，累计单位净值为1.0100元。本报告期内产品单位净值上涨0.01元，自成立以来产品单位净值上涨</w:t>
            </w:r>
            <w:r>
              <w:rPr>
                <w:rFonts w:hint="eastAsia" w:ascii="宋体" w:hAnsi="宋体" w:eastAsia="宋体" w:cs="宋体"/>
                <w:color w:val="000000"/>
                <w:sz w:val="24"/>
                <w:lang w:val="en-US" w:eastAsia="zh-CN"/>
              </w:rPr>
              <w:t>0.0097</w:t>
            </w:r>
            <w:r>
              <w:rPr>
                <w:rFonts w:ascii="宋体" w:hAnsi="宋体" w:eastAsia="宋体" w:cs="宋体"/>
                <w:color w:val="000000"/>
                <w:sz w:val="24"/>
              </w:rPr>
              <w:t>元，成立至今实现年化收益率为20.2778%。</w:t>
            </w:r>
            <w:bookmarkStart w:id="1" w:name="_GoBack"/>
            <w:bookmarkEnd w:id="1"/>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2024年6月30日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23834F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2024-07-11T09:18:08Z</dcterms:created>
  <dc:creator>huawei</dc:creator>
  <cp:lastModifiedBy>赵荆伟</cp:lastModifiedBy>
  <dcterms:modified xsi:type="dcterms:W3CDTF">2024-07-11T09:22:18Z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