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“承德银行承溢盈人民币理财产品第二百一十七期”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承德银行承溢盈人民币理财产品第二百一十七期（产品代码CYY0217）其关键要素如下：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2024年11月26日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5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6.98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7.91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8.15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19.04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57.67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截至2024年6月30日，本产品持仓前十大资产市值合计2,153.76万元，占全部持仓资产规模合计83.42%。产品持仓前十大资产如下：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326.38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12.64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231.23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230.87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230.67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228.43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210.33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央企创新驱动ETF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204.16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194.09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180.24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117.37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24,050,000.00份，持有资产总规模为25,823,244.64元，产品资产净值为25,799,839.18元，单位净值为1.0728元，累计单位净值为1.0728元。本报告期内产品单位净值上涨0.0421元，自成立以来产品单位净值上涨0.0728元，成立至今实现年化收益率为11.9694%。</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4460" w:orient="portrait" w:code="381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