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“承德银行承溢盈人民币理财产品第一百八十七期”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2024年第二季度运作情况报告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承德银行承溢盈人民币理财产品第一百八十七期（产品代码CYY0187）其关键要素如下：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C1089223000065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2023年8月9日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2024年7月16日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342天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3.45%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截至2024年6月30日，本产品投资的持仓资产结构如下：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tcPr>
                <w:tbl>
                  <w:tblPr>
                    <w:tblStyle w:val="2"/>
                    <w:tblW w:w="2960" w:type="dxa"/>
                    <w:tblInd w:w="0" w:type="dxa"/>
                    <w:tblLayout w:type="fixed"/>
                    <w:tblCellMar>
                      <w:top w:w="0" w:type="dxa"/>
                      <w:left w:w="10" w:type="dxa"/>
                      <w:bottom w:w="0" w:type="dxa"/>
                      <w:right w:w="10" w:type="dxa"/>
                    </w:tblCellMar>
                  </w:tblPr>
                  <w:tblGrid>
                    <w:gridCol w:w="2940"/>
                    <w:gridCol w:w="20"/>
                  </w:tblGrid>
                  <w:tr>
                    <w:tblPrEx>
                      <w:tblLayout w:type="fixed"/>
                      <w:tblCellMar>
                        <w:top w:w="0" w:type="dxa"/>
                        <w:left w:w="10" w:type="dxa"/>
                        <w:bottom w:w="0" w:type="dxa"/>
                        <w:right w:w="10" w:type="dxa"/>
                      </w:tblCellMar>
                    </w:tblPrEx>
                    <w:trPr>
                      <w:trHeight w:val="800" w:hRule="exact"/>
                    </w:trPr>
                    <w:tc>
                      <w:tcPr>
                        <w:tcW w:w="2940" w:type="dxa"/>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tcPr>
                        <w:tcW w:w="20" w:type="dxa"/>
                      </w:tcPr>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4.26</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非标准化债权类资产</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收益凭证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6.22</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债券</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商业性金融债券</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6.89</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82.63</w:t>
                        </w:r>
                      </w:p>
                    </w:tc>
                  </w:tr>
                </w:tbl>
                <w:p>
                  <w:pPr>
                    <w:pStyle w:val="4"/>
                  </w:pP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截至2024年6月30日，本产品持仓前十大资产市值合计1,687.53万元，占全部持仓资产规模合计73.66%。产品持仓前十大资产如下：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现金</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307.88</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13.44</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23东莞银行二级资本债01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163.30</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7.13</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23成都银行二级资本债01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160.43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7.00</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23苏州银行二级01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159.48</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6.96</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20威海银行二级</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158.39</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6.91</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20秦皇岛银行二级01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157.75</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6.89</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23浙商银行二级资本债01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157.10</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6.86</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国泰君安证券超越伍佰定制款收益凭证产品2202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142.44</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6.22</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22长沙农商行二级资本债01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140.49</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6.13</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22湖州银行二级01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140.27</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6.12</w:t>
                        </w:r>
                      </w:p>
                    </w:tc>
                  </w:tr>
                </w:tbl>
                <w:p>
                  <w:pPr>
                    <w:pStyle w:val="4"/>
                  </w:pP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截至2024年6月30日，本产品存续份额为22,003,000.00份，持有资产总规模为22,907,705.99元，产品资产净值为22,876,166.84元，单位净值为1.0397元，累计单位净值为1.0397元。本报告期内产品单位净值上涨-0.006</w:t>
            </w:r>
            <w:r>
              <w:rPr>
                <w:rFonts w:hint="eastAsia" w:ascii="宋体" w:hAnsi="宋体" w:eastAsia="宋体" w:cs="宋体"/>
                <w:color w:val="000000"/>
                <w:sz w:val="24"/>
                <w:lang w:val="en-US" w:eastAsia="zh-CN"/>
              </w:rPr>
              <w:t>6</w:t>
            </w:r>
            <w:r>
              <w:rPr>
                <w:rFonts w:ascii="宋体" w:hAnsi="宋体" w:eastAsia="宋体" w:cs="宋体"/>
                <w:color w:val="000000"/>
                <w:sz w:val="24"/>
              </w:rPr>
              <w:t>元，自成立以来产品单位净值上涨0.0397元，成立至今实现年化收益率为4.4313%。</w:t>
            </w:r>
            <w:bookmarkStart w:id="1" w:name="_GoBack"/>
            <w:bookmarkEnd w:id="1"/>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2024年6月30日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8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nforcement="0"/>
  <w:defaultTabStop w:val="800"/>
  <w:compat>
    <w:useFELayout/>
    <w:splitPgBreakAndParaMark/>
    <w:compatSetting w:name="compatibilityMode" w:uri="http://schemas.microsoft.com/office/word" w:val="12"/>
  </w:compat>
  <w:rsids>
    <w:rsidRoot w:val="00000000"/>
    <w:rsid w:val="755E4FB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2024-07-12T07:04:06Z</dcterms:created>
  <dc:creator>huawei</dc:creator>
  <cp:lastModifiedBy>赵荆伟</cp:lastModifiedBy>
  <dcterms:modified xsi:type="dcterms:W3CDTF">2024-07-12T07:05:04Z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