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承德银行承溢盈人民币理财产品第一百九十四期（产品代码CYY0194）其关键要素如下：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2023年8月30日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19.80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截至2024年6月30日，本产品持仓前十大资产市值合计1,781.23万元，占全部持仓资产规模合计75.96%。产品持仓前十大资产如下：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318.93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23金坛01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149.28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20淮高01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134.35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134.35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22,705,000.00份，持有资产总规模为23,447,147.39元，产品资产净值为23,414,006.48元，单位净值为1.0312元，累计单位净值为1.0312元。本报告期内产品单位净值上涨-0.0062元，自成立以来产品单位净值上涨0.0312元，成立至今实现年化收益率为3.7216%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