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30" w:type="dxa"/>
        <w:tblInd w:w="0" w:type="dxa"/>
        <w:tblLayout w:type="fixed"/>
        <w:tblCellMar>
          <w:top w:w="0" w:type="dxa"/>
          <w:left w:w="10" w:type="dxa"/>
          <w:bottom w:w="0" w:type="dxa"/>
          <w:right w:w="10" w:type="dxa"/>
        </w:tblCellMar>
      </w:tblPr>
      <w:tblGrid>
        <w:gridCol w:w="10"/>
        <w:gridCol w:w="10"/>
        <w:gridCol w:w="10"/>
        <w:gridCol w:w="10"/>
        <w:gridCol w:w="10"/>
        <w:gridCol w:w="10"/>
        <w:gridCol w:w="70"/>
        <w:gridCol w:w="10"/>
        <w:gridCol w:w="70"/>
        <w:gridCol w:w="10"/>
        <w:gridCol w:w="2990"/>
        <w:gridCol w:w="10"/>
        <w:gridCol w:w="190"/>
        <w:gridCol w:w="10"/>
        <w:gridCol w:w="50"/>
        <w:gridCol w:w="10"/>
        <w:gridCol w:w="5010"/>
        <w:gridCol w:w="10"/>
        <w:gridCol w:w="110"/>
        <w:gridCol w:w="10"/>
        <w:gridCol w:w="110"/>
        <w:gridCol w:w="10"/>
        <w:gridCol w:w="50"/>
        <w:gridCol w:w="10"/>
        <w:gridCol w:w="10"/>
        <w:gridCol w:w="10"/>
        <w:gridCol w:w="10"/>
        <w:gridCol w:w="10"/>
        <w:gridCol w:w="10"/>
        <w:gridCol w:w="10"/>
        <w:gridCol w:w="10"/>
        <w:gridCol w:w="10"/>
        <w:gridCol w:w="110"/>
        <w:gridCol w:w="10"/>
        <w:gridCol w:w="10"/>
        <w:gridCol w:w="10"/>
        <w:gridCol w:w="10"/>
      </w:tblGrid>
      <w:tr>
        <w:tblPrEx>
          <w:tblLayout w:type="fixed"/>
          <w:tblCellMar>
            <w:top w:w="0" w:type="dxa"/>
            <w:left w:w="10" w:type="dxa"/>
            <w:bottom w:w="0" w:type="dxa"/>
            <w:right w:w="10" w:type="dxa"/>
          </w:tblCellMar>
        </w:tblPrEx>
        <w:trPr>
          <w:gridAfter w:val="1"/>
          <w:wAfter w:w="10" w:type="dxa"/>
          <w:trHeight w:val="600" w:hRule="exact"/>
        </w:trPr>
        <w:tc>
          <w:tcPr>
            <w:tcW w:w="20" w:type="dxa"/>
            <w:gridSpan w:val="2"/>
          </w:tcPr>
          <w:p>
            <w:pPr>
              <w:pStyle w:val="4"/>
            </w:pPr>
          </w:p>
        </w:tc>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“承德银行承溢盈人民币理财产品”</w:t>
            </w:r>
          </w:p>
        </w:tc>
      </w:tr>
      <w:tr>
        <w:tblPrEx>
          <w:tblLayout w:type="fixed"/>
          <w:tblCellMar>
            <w:top w:w="0" w:type="dxa"/>
            <w:left w:w="10" w:type="dxa"/>
            <w:bottom w:w="0" w:type="dxa"/>
            <w:right w:w="10" w:type="dxa"/>
          </w:tblCellMar>
        </w:tblPrEx>
        <w:trPr>
          <w:gridAfter w:val="1"/>
          <w:wAfter w:w="10" w:type="dxa"/>
          <w:trHeight w:val="20" w:hRule="exact"/>
        </w:trPr>
        <w:tc>
          <w:tcPr>
            <w:tcW w:w="20" w:type="dxa"/>
            <w:gridSpan w:val="2"/>
          </w:tcPr>
          <w:p>
            <w:pPr>
              <w:pStyle w:val="4"/>
            </w:pPr>
          </w:p>
        </w:tc>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After w:val="1"/>
          <w:wAfter w:w="10" w:type="dxa"/>
          <w:trHeight w:val="600" w:hRule="exact"/>
        </w:trPr>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202</w:t>
            </w:r>
            <w:r>
              <w:rPr>
                <w:rFonts w:hint="eastAsia" w:ascii="宋体" w:hAnsi="宋体" w:cs="宋体"/>
                <w:b/>
                <w:color w:val="000000"/>
                <w:sz w:val="36"/>
                <w:lang w:val="en-US" w:eastAsia="zh-CN"/>
              </w:rPr>
              <w:t>3</w:t>
            </w:r>
            <w:r>
              <w:rPr>
                <w:rFonts w:ascii="宋体" w:hAnsi="宋体" w:eastAsia="宋体" w:cs="宋体"/>
                <w:b/>
                <w:color w:val="000000"/>
                <w:sz w:val="36"/>
              </w:rPr>
              <w:t>年</w:t>
            </w:r>
            <w:r>
              <w:rPr>
                <w:rFonts w:hint="eastAsia" w:ascii="宋体" w:hAnsi="宋体" w:cs="宋体"/>
                <w:b/>
                <w:color w:val="000000"/>
                <w:sz w:val="36"/>
                <w:lang w:val="en-US" w:eastAsia="zh-CN"/>
              </w:rPr>
              <w:t>年</w:t>
            </w:r>
            <w:r>
              <w:rPr>
                <w:rFonts w:ascii="宋体" w:hAnsi="宋体" w:eastAsia="宋体" w:cs="宋体"/>
                <w:b/>
                <w:color w:val="000000"/>
                <w:sz w:val="36"/>
              </w:rPr>
              <w:t>度运作情况报告</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r>
              <w:rPr>
                <w:rFonts w:ascii="宋体" w:hAnsi="宋体" w:eastAsia="宋体" w:cs="宋体"/>
                <w:color w:val="000000"/>
                <w:sz w:val="24"/>
              </w:rPr>
              <w:t>一、产品情况介绍</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10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pPr>
              <w:rPr>
                <w:rFonts w:hint="default" w:eastAsia="宋体"/>
                <w:lang w:val="en-US" w:eastAsia="zh-CN"/>
              </w:rPr>
            </w:pPr>
            <w:r>
              <w:rPr>
                <w:rFonts w:ascii="宋体" w:hAnsi="宋体" w:eastAsia="宋体" w:cs="宋体"/>
                <w:color w:val="000000"/>
                <w:sz w:val="24"/>
              </w:rPr>
              <w:t xml:space="preserve">       （一）</w:t>
            </w:r>
            <w:r>
              <w:rPr>
                <w:rFonts w:hint="eastAsia" w:ascii="宋体" w:hAnsi="宋体" w:cs="宋体"/>
                <w:color w:val="000000"/>
                <w:sz w:val="24"/>
                <w:lang w:val="en-US" w:eastAsia="zh-CN"/>
              </w:rPr>
              <w:t>存续产品情况</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2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376" w:hRule="exact"/>
        </w:trPr>
        <w:tc>
          <w:tcPr>
            <w:tcW w:w="9020" w:type="dxa"/>
            <w:gridSpan w:val="36"/>
            <w:tcMar>
              <w:top w:w="0" w:type="dxa"/>
              <w:left w:w="0" w:type="dxa"/>
              <w:bottom w:w="0" w:type="dxa"/>
              <w:right w:w="0" w:type="dxa"/>
            </w:tcMar>
            <w:vAlign w:val="top"/>
          </w:tcPr>
          <w:p>
            <w:pPr>
              <w:spacing w:before="0" w:after="0" w:line="300" w:lineRule="exact"/>
              <w:jc w:val="left"/>
              <w:rPr>
                <w:rFonts w:hint="default" w:eastAsia="宋体"/>
                <w:lang w:val="en-US" w:eastAsia="zh-CN"/>
              </w:rPr>
            </w:pPr>
            <w:r>
              <w:rPr>
                <w:rFonts w:ascii="宋体" w:hAnsi="宋体" w:eastAsia="宋体" w:cs="宋体"/>
                <w:color w:val="000000"/>
                <w:sz w:val="24"/>
              </w:rPr>
              <w:t xml:space="preserve">      </w:t>
            </w:r>
            <w:r>
              <w:rPr>
                <w:rFonts w:hint="eastAsia" w:ascii="宋体" w:hAnsi="宋体" w:cs="宋体"/>
                <w:color w:val="000000"/>
                <w:sz w:val="24"/>
                <w:lang w:val="en-US" w:eastAsia="zh-CN"/>
              </w:rPr>
              <w:t>截至2023年12月31日，承德银行承溢盈人民币理财产品共存续产品77只。</w:t>
            </w:r>
          </w:p>
        </w:tc>
      </w:tr>
    </w:tbl>
    <w:tbl>
      <w:tblPr>
        <w:tblStyle w:val="2"/>
        <w:tblpPr w:leftFromText="180" w:rightFromText="180" w:vertAnchor="text" w:horzAnchor="page" w:tblpX="1394" w:tblpY="392"/>
        <w:tblOverlap w:val="never"/>
        <w:tblW w:w="9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58"/>
        <w:gridCol w:w="1438"/>
        <w:gridCol w:w="2160"/>
        <w:gridCol w:w="194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产品简称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理财份额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产品总资产</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产品净资产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15325000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16147072.74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16137777.63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5140836.93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5137956.15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24948000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25991350.55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25977075.59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10366796.1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10361288.7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5780028.65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5777088.92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20200008.65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20189845.45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16401112.25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16393142.53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7436093.84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7432562.65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25953565.18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25941493.9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13143155.75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13137204.95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19088000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19742618.9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19733958.02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17117112.15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17109721.91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17210823.11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17203676.63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20547132.96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20538677.66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20533785.72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20512043.56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10193554.9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10182786.74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6811780.13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6804929.05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9143019.66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9133895.9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20538875.17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20518894.92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8427689.35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8419788.37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19148000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19614254.7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19595620.02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17458640.4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17442618.6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4760190.45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4756040.85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15255162.89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15242105.93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8331930.24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8324778.66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13821253.06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13809771.46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13463366.65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13452995.05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10691470.33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10683571.15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承溢盈第一百七十九期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6258572.89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6254005.69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16270333.68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16258821.58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4706263.53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4702960.13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20551634.76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20537695.23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24517548.55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24500753.38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12791141.08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12782925.48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6546939.08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6542737.8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22520970.49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22506985.24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8305154.27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8300056.07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承溢盈第一百八十九期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16165000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16546270.1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16536491.42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5389191.47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5386034.03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27828000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28398260.77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28382281.39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13141128.99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13133734.04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23148434.99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23136093.27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7466451.11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7462506.67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10800610.55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10795226.21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1221221.98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1220614.75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6367508.64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6364540.84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承溢盈第一百九十九期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12759691.91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12753696.91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7675097.2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7671741.46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1134734.57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1134238.11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3218545.91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3217231.67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17394522.87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17387360.31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17274000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17569217.99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17562933.23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4727810.45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4726138.83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16453410.81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16447511.17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16284000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16508303.99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16502950.49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13738470.87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13734030.87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承溢盈第二百零九期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22875680.07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22868966.43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2493349.49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2492628.01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17860000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18146867.12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18142091.43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3974204.53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3973170.58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7678272.05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7676497.61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3074635.58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3074014.71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19036796.25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19032913.11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19892000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20306079.37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20301980.97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24189124.32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24184907.12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8210002.8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8208586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承溢盈第二百一十九期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23347000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23607284.01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23603190.01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2026712.07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2026422.99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承溢盈第二百二十一期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5072739.69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5072016.33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承溢盈第二百二十二期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5072650.95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5071927.59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承溢盈第二百二十三期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12335072.73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12333681.73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承溢盈第二百二十四期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5251438.42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5250846.4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承溢盈第二百二十五期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26241000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26384491.41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26382190.81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承溢盈第二百二十六期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12867790.26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12866668.26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承溢盈第二百二十七期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7651141.12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7650474.92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承溢盈第二百二十八期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24738336.08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24737039.48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6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承溢盈第二百二十九期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10034804.82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10034278.86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1.0036</w:t>
            </w:r>
          </w:p>
        </w:tc>
      </w:tr>
    </w:tbl>
    <w:tbl>
      <w:tblPr>
        <w:tblStyle w:val="2"/>
        <w:tblpPr w:leftFromText="180" w:rightFromText="180" w:vertAnchor="text" w:horzAnchor="page" w:tblpX="1824" w:tblpY="873"/>
        <w:tblOverlap w:val="never"/>
        <w:tblW w:w="8460" w:type="dxa"/>
        <w:tblInd w:w="0" w:type="dxa"/>
        <w:tblLayout w:type="fixed"/>
        <w:tblCellMar>
          <w:top w:w="0" w:type="dxa"/>
          <w:left w:w="10" w:type="dxa"/>
          <w:bottom w:w="0" w:type="dxa"/>
          <w:right w:w="10" w:type="dxa"/>
        </w:tblCellMar>
      </w:tblPr>
      <w:tblGrid>
        <w:gridCol w:w="20"/>
        <w:gridCol w:w="80"/>
        <w:gridCol w:w="80"/>
        <w:gridCol w:w="3000"/>
        <w:gridCol w:w="200"/>
        <w:gridCol w:w="60"/>
        <w:gridCol w:w="5020"/>
      </w:tblGrid>
      <w:tr>
        <w:tblPrEx>
          <w:tblLayout w:type="fixed"/>
          <w:tblCellMar>
            <w:top w:w="0" w:type="dxa"/>
            <w:left w:w="10" w:type="dxa"/>
            <w:bottom w:w="0" w:type="dxa"/>
            <w:right w:w="10" w:type="dxa"/>
          </w:tblCellMar>
        </w:tblPrEx>
        <w:trPr>
          <w:trHeight w:val="586" w:hRule="exact"/>
        </w:trPr>
        <w:tc>
          <w:tcPr>
            <w:tcW w:w="8460" w:type="dxa"/>
            <w:gridSpan w:val="7"/>
            <w:tcMar>
              <w:top w:w="0" w:type="dxa"/>
              <w:left w:w="0" w:type="dxa"/>
              <w:bottom w:w="0" w:type="dxa"/>
              <w:right w:w="0" w:type="dxa"/>
            </w:tcMar>
            <w:vAlign w:val="top"/>
          </w:tcPr>
          <w:p>
            <w:pPr>
              <w:rPr>
                <w:rFonts w:ascii="宋体" w:hAnsi="宋体" w:eastAsia="宋体" w:cs="宋体"/>
                <w:color w:val="000000"/>
                <w:sz w:val="24"/>
              </w:rPr>
            </w:pPr>
          </w:p>
          <w:p>
            <w:r>
              <w:rPr>
                <w:rFonts w:ascii="宋体" w:hAnsi="宋体" w:eastAsia="宋体" w:cs="宋体"/>
                <w:color w:val="000000"/>
                <w:sz w:val="24"/>
              </w:rPr>
              <w:t>二、产品持仓状况</w:t>
            </w:r>
          </w:p>
        </w:tc>
      </w:tr>
      <w:tr>
        <w:tblPrEx>
          <w:tblLayout w:type="fixed"/>
          <w:tblCellMar>
            <w:top w:w="0" w:type="dxa"/>
            <w:left w:w="10" w:type="dxa"/>
            <w:bottom w:w="0" w:type="dxa"/>
            <w:right w:w="10" w:type="dxa"/>
          </w:tblCellMar>
        </w:tblPrEx>
        <w:trPr>
          <w:trHeight w:val="90" w:hRule="exact"/>
        </w:trPr>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r>
      <w:tr>
        <w:tblPrEx>
          <w:tblLayout w:type="fixed"/>
          <w:tblCellMar>
            <w:top w:w="0" w:type="dxa"/>
            <w:left w:w="10" w:type="dxa"/>
            <w:bottom w:w="0" w:type="dxa"/>
            <w:right w:w="10" w:type="dxa"/>
          </w:tblCellMar>
        </w:tblPrEx>
        <w:trPr>
          <w:trHeight w:val="90" w:hRule="exact"/>
        </w:trPr>
        <w:tc>
          <w:tcPr>
            <w:tcW w:w="8460" w:type="dxa"/>
            <w:gridSpan w:val="7"/>
            <w:tcMar>
              <w:top w:w="0" w:type="dxa"/>
              <w:left w:w="0" w:type="dxa"/>
              <w:bottom w:w="0" w:type="dxa"/>
              <w:right w:w="0" w:type="dxa"/>
            </w:tcMar>
            <w:vAlign w:val="top"/>
          </w:tcPr>
          <w:p>
            <w:pPr>
              <w:spacing w:before="0" w:after="0" w:line="3600" w:lineRule="auto"/>
              <w:jc w:val="left"/>
            </w:pPr>
            <w:r>
              <w:rPr>
                <w:rFonts w:ascii="宋体" w:hAnsi="宋体" w:eastAsia="宋体" w:cs="宋体"/>
                <w:color w:val="000000"/>
                <w:sz w:val="24"/>
              </w:rPr>
              <w:t xml:space="preserve">       截至2022年12月31日，本产品投资的持仓资产结构如下：</w:t>
            </w:r>
          </w:p>
        </w:tc>
      </w:tr>
    </w:tbl>
    <w:p>
      <w:pPr>
        <w:rPr>
          <w:rFonts w:ascii="宋体" w:hAnsi="宋体" w:eastAsia="宋体" w:cs="宋体"/>
          <w:color w:val="000000"/>
          <w:sz w:val="24"/>
        </w:rPr>
      </w:pPr>
      <w:r>
        <w:rPr>
          <w:rFonts w:ascii="宋体" w:hAnsi="宋体" w:eastAsia="宋体" w:cs="宋体"/>
          <w:color w:val="000000"/>
          <w:sz w:val="24"/>
        </w:rPr>
        <w:t xml:space="preserve">  截至202</w:t>
      </w:r>
      <w:r>
        <w:rPr>
          <w:rFonts w:hint="eastAsia" w:ascii="宋体" w:hAnsi="宋体" w:cs="宋体"/>
          <w:color w:val="000000"/>
          <w:sz w:val="24"/>
          <w:lang w:val="en-US" w:eastAsia="zh-CN"/>
        </w:rPr>
        <w:t>3</w:t>
      </w:r>
      <w:r>
        <w:rPr>
          <w:rFonts w:ascii="宋体" w:hAnsi="宋体" w:eastAsia="宋体" w:cs="宋体"/>
          <w:color w:val="000000"/>
          <w:sz w:val="24"/>
        </w:rPr>
        <w:t>年12月31日，本</w:t>
      </w:r>
      <w:r>
        <w:rPr>
          <w:rFonts w:hint="eastAsia" w:ascii="宋体" w:hAnsi="宋体" w:cs="宋体"/>
          <w:color w:val="000000"/>
          <w:sz w:val="24"/>
          <w:lang w:val="en-US" w:eastAsia="zh-CN"/>
        </w:rPr>
        <w:t>系列</w:t>
      </w:r>
      <w:r>
        <w:rPr>
          <w:rFonts w:ascii="宋体" w:hAnsi="宋体" w:eastAsia="宋体" w:cs="宋体"/>
          <w:color w:val="000000"/>
          <w:sz w:val="24"/>
        </w:rPr>
        <w:t>产品投资的持仓资产结构如下：</w:t>
      </w:r>
    </w:p>
    <w:tbl>
      <w:tblPr>
        <w:tblStyle w:val="2"/>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366"/>
        <w:gridCol w:w="184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83" w:type="dxa"/>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资产类别</w:t>
            </w:r>
          </w:p>
        </w:tc>
        <w:tc>
          <w:tcPr>
            <w:tcW w:w="2366" w:type="dxa"/>
            <w:shd w:val="clear" w:color="auto" w:fill="auto"/>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具体资产</w:t>
            </w:r>
          </w:p>
        </w:tc>
        <w:tc>
          <w:tcPr>
            <w:tcW w:w="1845" w:type="dxa"/>
            <w:shd w:val="clear" w:color="auto" w:fill="auto"/>
            <w:vAlign w:val="center"/>
          </w:tcPr>
          <w:p>
            <w:pPr>
              <w:keepNext/>
              <w:keepLines/>
              <w:spacing w:line="360" w:lineRule="auto"/>
              <w:jc w:val="center"/>
              <w:rPr>
                <w:rFonts w:hint="eastAsia" w:cs="Times New Roman" w:asciiTheme="minorEastAsia" w:hAnsiTheme="minorEastAsia" w:eastAsiaTheme="minorEastAsia"/>
                <w:b/>
                <w:bCs/>
                <w:kern w:val="0"/>
                <w:sz w:val="24"/>
                <w:szCs w:val="24"/>
                <w:highlight w:val="none"/>
                <w:lang w:eastAsia="zh-CN"/>
              </w:rPr>
            </w:pPr>
            <w:r>
              <w:rPr>
                <w:rFonts w:hint="eastAsia" w:cs="Times New Roman" w:asciiTheme="minorEastAsia" w:hAnsiTheme="minorEastAsia"/>
                <w:b/>
                <w:bCs/>
                <w:kern w:val="0"/>
                <w:sz w:val="24"/>
                <w:szCs w:val="24"/>
                <w:highlight w:val="none"/>
                <w:lang w:val="en-US" w:eastAsia="zh-CN"/>
              </w:rPr>
              <w:t>余额（万元）</w:t>
            </w:r>
          </w:p>
        </w:tc>
        <w:tc>
          <w:tcPr>
            <w:tcW w:w="1840" w:type="dxa"/>
            <w:shd w:val="clear" w:color="auto" w:fill="auto"/>
            <w:vAlign w:val="center"/>
          </w:tcPr>
          <w:p>
            <w:pPr>
              <w:keepNext/>
              <w:keepLines/>
              <w:spacing w:line="360" w:lineRule="auto"/>
              <w:jc w:val="center"/>
              <w:rPr>
                <w:rFonts w:cs="Times New Roman" w:asciiTheme="minorEastAsia" w:hAnsiTheme="minorEastAsia"/>
                <w:b/>
                <w:bCs/>
                <w:kern w:val="0"/>
                <w:sz w:val="24"/>
                <w:szCs w:val="24"/>
                <w:highlight w:val="none"/>
              </w:rPr>
            </w:pPr>
            <w:r>
              <w:rPr>
                <w:rFonts w:cs="Times New Roman" w:asciiTheme="minorEastAsia" w:hAnsiTheme="minorEastAsia"/>
                <w:b/>
                <w:bCs/>
                <w:kern w:val="0"/>
                <w:sz w:val="24"/>
                <w:szCs w:val="24"/>
                <w:highlight w:val="none"/>
              </w:rPr>
              <w:t>占比</w:t>
            </w:r>
            <w:r>
              <w:rPr>
                <w:rFonts w:hint="eastAsia" w:cs="Times New Roman" w:asciiTheme="minorEastAsia" w:hAnsiTheme="minorEastAsia"/>
                <w:b/>
                <w:bCs/>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现金及银行存款</w:t>
            </w:r>
          </w:p>
        </w:tc>
        <w:tc>
          <w:tcPr>
            <w:tcW w:w="2366"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现金及活期存款</w:t>
            </w:r>
          </w:p>
        </w:tc>
        <w:tc>
          <w:tcPr>
            <w:tcW w:w="1845"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0"/>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3982.43</w:t>
            </w:r>
          </w:p>
        </w:tc>
        <w:tc>
          <w:tcPr>
            <w:tcW w:w="1840"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restart"/>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资产管理产品</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券商资产管理产品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88563.97</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continue"/>
            <w:vAlign w:val="center"/>
          </w:tcPr>
          <w:p>
            <w:pPr>
              <w:jc w:val="center"/>
              <w:rPr>
                <w:rFonts w:hint="eastAsia" w:cs="Times New Roman" w:asciiTheme="minorEastAsia" w:hAnsiTheme="minorEastAsia"/>
                <w:kern w:val="0"/>
                <w:sz w:val="24"/>
                <w:szCs w:val="24"/>
                <w:highlight w:val="none"/>
                <w:lang w:val="en-US" w:eastAsia="zh-CN"/>
              </w:rPr>
            </w:pPr>
          </w:p>
        </w:tc>
        <w:tc>
          <w:tcPr>
            <w:tcW w:w="2366"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信托产品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2976.77</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非标准化债权类资产</w:t>
            </w:r>
          </w:p>
        </w:tc>
        <w:tc>
          <w:tcPr>
            <w:tcW w:w="2366"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收益凭证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3598.7</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2015.89</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4449" w:type="dxa"/>
            <w:gridSpan w:val="2"/>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合计</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101137.76</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100</w:t>
            </w:r>
          </w:p>
        </w:tc>
      </w:tr>
    </w:tbl>
    <w:p>
      <w:pPr>
        <w:rPr>
          <w:rFonts w:ascii="宋体" w:hAnsi="宋体" w:eastAsia="宋体" w:cs="宋体"/>
          <w:color w:val="000000"/>
          <w:sz w:val="24"/>
        </w:rPr>
      </w:pPr>
      <w:r>
        <w:rPr>
          <w:rFonts w:ascii="宋体" w:hAnsi="宋体" w:eastAsia="宋体" w:cs="宋体"/>
          <w:color w:val="000000"/>
          <w:sz w:val="24"/>
        </w:rPr>
        <w:t xml:space="preserve"> </w:t>
      </w:r>
      <w:r>
        <w:rPr>
          <w:rFonts w:hint="eastAsia" w:ascii="宋体" w:hAnsi="宋体" w:cs="宋体"/>
          <w:color w:val="000000"/>
          <w:sz w:val="24"/>
          <w:lang w:val="en-US" w:eastAsia="zh-CN"/>
        </w:rPr>
        <w:t>三</w:t>
      </w:r>
      <w:r>
        <w:rPr>
          <w:rFonts w:ascii="宋体" w:hAnsi="宋体" w:eastAsia="宋体" w:cs="宋体"/>
          <w:color w:val="000000"/>
          <w:sz w:val="24"/>
        </w:rPr>
        <w:t>、理财产品业绩表现</w:t>
      </w:r>
    </w:p>
    <w:p>
      <w:pPr>
        <w:ind w:firstLine="480" w:firstLineChars="200"/>
      </w:pPr>
      <w:r>
        <w:rPr>
          <w:rFonts w:ascii="宋体" w:hAnsi="宋体" w:eastAsia="宋体" w:cs="宋体"/>
          <w:color w:val="000000"/>
          <w:sz w:val="24"/>
        </w:rPr>
        <w:t xml:space="preserve"> 截至202</w:t>
      </w:r>
      <w:r>
        <w:rPr>
          <w:rFonts w:hint="eastAsia" w:ascii="宋体" w:hAnsi="宋体" w:cs="宋体"/>
          <w:color w:val="000000"/>
          <w:sz w:val="24"/>
          <w:lang w:val="en-US" w:eastAsia="zh-CN"/>
        </w:rPr>
        <w:t>3</w:t>
      </w:r>
      <w:r>
        <w:rPr>
          <w:rFonts w:ascii="宋体" w:hAnsi="宋体" w:eastAsia="宋体" w:cs="宋体"/>
          <w:color w:val="000000"/>
          <w:sz w:val="24"/>
        </w:rPr>
        <w:t>年12月31日，本</w:t>
      </w:r>
      <w:r>
        <w:rPr>
          <w:rFonts w:hint="eastAsia" w:ascii="宋体" w:hAnsi="宋体" w:cs="宋体"/>
          <w:color w:val="000000"/>
          <w:sz w:val="24"/>
          <w:lang w:val="en-US" w:eastAsia="zh-CN"/>
        </w:rPr>
        <w:t>系列</w:t>
      </w:r>
      <w:r>
        <w:rPr>
          <w:rFonts w:hint="eastAsia" w:ascii="宋体" w:hAnsi="宋体" w:eastAsia="宋体" w:cs="宋体"/>
          <w:color w:val="000000"/>
          <w:sz w:val="24"/>
        </w:rPr>
        <w:t>产品总资产</w:t>
      </w:r>
      <w:r>
        <w:rPr>
          <w:rFonts w:ascii="宋体" w:hAnsi="宋体" w:eastAsia="宋体" w:cs="宋体"/>
          <w:color w:val="000000"/>
          <w:sz w:val="24"/>
        </w:rPr>
        <w:t>为</w:t>
      </w:r>
      <w:r>
        <w:rPr>
          <w:rFonts w:hint="eastAsia" w:ascii="宋体" w:hAnsi="宋体" w:eastAsia="宋体" w:cs="宋体"/>
          <w:color w:val="000000"/>
          <w:sz w:val="24"/>
        </w:rPr>
        <w:t>1</w:t>
      </w:r>
      <w:r>
        <w:rPr>
          <w:rFonts w:hint="eastAsia" w:ascii="宋体" w:hAnsi="宋体" w:cs="宋体"/>
          <w:color w:val="000000"/>
          <w:sz w:val="24"/>
          <w:lang w:val="en-US" w:eastAsia="zh-CN"/>
        </w:rPr>
        <w:t>011377598.05</w:t>
      </w:r>
      <w:r>
        <w:rPr>
          <w:rFonts w:hint="eastAsia" w:ascii="宋体" w:hAnsi="宋体" w:eastAsia="宋体" w:cs="宋体"/>
          <w:color w:val="000000"/>
          <w:sz w:val="24"/>
        </w:rPr>
        <w:t xml:space="preserve"> </w:t>
      </w:r>
      <w:r>
        <w:rPr>
          <w:rFonts w:ascii="宋体" w:hAnsi="宋体" w:eastAsia="宋体" w:cs="宋体"/>
          <w:color w:val="000000"/>
          <w:sz w:val="24"/>
        </w:rPr>
        <w:t>元，</w:t>
      </w:r>
      <w:r>
        <w:rPr>
          <w:rFonts w:hint="eastAsia" w:ascii="宋体" w:hAnsi="宋体" w:eastAsia="宋体" w:cs="宋体"/>
          <w:color w:val="000000"/>
          <w:sz w:val="24"/>
        </w:rPr>
        <w:t>产品净资产</w:t>
      </w:r>
      <w:r>
        <w:rPr>
          <w:rFonts w:ascii="宋体" w:hAnsi="宋体" w:eastAsia="宋体" w:cs="宋体"/>
          <w:color w:val="000000"/>
          <w:sz w:val="24"/>
        </w:rPr>
        <w:t>为</w:t>
      </w:r>
      <w:r>
        <w:rPr>
          <w:rFonts w:hint="eastAsia" w:ascii="宋体" w:hAnsi="宋体" w:cs="宋体"/>
          <w:color w:val="000000"/>
          <w:sz w:val="24"/>
          <w:lang w:val="en-US" w:eastAsia="zh-CN"/>
        </w:rPr>
        <w:t>1010878100.57</w:t>
      </w:r>
      <w:r>
        <w:rPr>
          <w:rFonts w:ascii="宋体" w:hAnsi="宋体" w:eastAsia="宋体" w:cs="宋体"/>
          <w:color w:val="000000"/>
          <w:sz w:val="24"/>
        </w:rPr>
        <w:t>元。</w:t>
      </w:r>
      <w:r>
        <w:rPr>
          <w:rFonts w:hint="eastAsia" w:ascii="宋体" w:hAnsi="宋体" w:cs="宋体"/>
          <w:color w:val="000000"/>
          <w:sz w:val="24"/>
          <w:lang w:val="en-US" w:eastAsia="zh-CN"/>
        </w:rPr>
        <w:t>全年兑付金额176048.92万元，客户端实现收益总额4520.22万元</w:t>
      </w:r>
      <w:r>
        <w:rPr>
          <w:rFonts w:ascii="宋体" w:hAnsi="宋体" w:eastAsia="宋体" w:cs="宋体"/>
          <w:color w:val="000000"/>
          <w:sz w:val="24"/>
        </w:rPr>
        <w:t>。</w:t>
      </w:r>
    </w:p>
    <w:p>
      <w:pPr>
        <w:rPr>
          <w:rFonts w:ascii="宋体" w:hAnsi="宋体" w:eastAsia="宋体" w:cs="宋体"/>
          <w:color w:val="000000"/>
          <w:sz w:val="24"/>
        </w:rPr>
      </w:pPr>
    </w:p>
    <w:tbl>
      <w:tblPr>
        <w:tblStyle w:val="2"/>
        <w:tblW w:w="904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gridCol w:w="20"/>
      </w:tblGrid>
      <w:tr>
        <w:tblPrEx>
          <w:tblLayout w:type="fixed"/>
          <w:tblCellMar>
            <w:top w:w="0" w:type="dxa"/>
            <w:left w:w="10" w:type="dxa"/>
            <w:bottom w:w="0" w:type="dxa"/>
            <w:right w:w="10" w:type="dxa"/>
          </w:tblCellMar>
        </w:tblPrEx>
        <w:trPr>
          <w:gridAfter w:val="1"/>
          <w:wAfter w:w="20" w:type="dxa"/>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四</w:t>
            </w:r>
            <w:r>
              <w:rPr>
                <w:rFonts w:ascii="宋体" w:hAnsi="宋体" w:eastAsia="宋体" w:cs="宋体"/>
                <w:color w:val="000000"/>
                <w:sz w:val="24"/>
              </w:rPr>
              <w:t>、产品组合流动性风险分析</w:t>
            </w: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8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94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本产品为封闭式产品，报告期内产品管理人合理安排资产配置结构，控制资产久期，严格按照产品说明书约定的投资范围与比例限制实施投资管理。本报告期内，本产品未发生重大流动性风险事件。</w:t>
            </w:r>
          </w:p>
        </w:tc>
      </w:tr>
      <w:tr>
        <w:tblPrEx>
          <w:tblLayout w:type="fixed"/>
          <w:tblCellMar>
            <w:top w:w="0" w:type="dxa"/>
            <w:left w:w="10" w:type="dxa"/>
            <w:bottom w:w="0" w:type="dxa"/>
            <w:right w:w="10" w:type="dxa"/>
          </w:tblCellMar>
        </w:tblPrEx>
        <w:trPr>
          <w:gridAfter w:val="1"/>
          <w:wAfter w:w="20" w:type="dxa"/>
          <w:trHeight w:val="24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五</w:t>
            </w:r>
            <w:r>
              <w:rPr>
                <w:rFonts w:ascii="宋体" w:hAnsi="宋体" w:eastAsia="宋体" w:cs="宋体"/>
                <w:color w:val="000000"/>
                <w:sz w:val="24"/>
              </w:rPr>
              <w:t>、本报告期主要操作回顾</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78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本报告期，产品管理人采取稳健的投资策略，通过配置资质优良且久期合理的固收类资产，实现了产品单位净值的稳健增长。</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tblGrid>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pPr>
              <w:rPr>
                <w:rFonts w:hint="default" w:eastAsia="宋体"/>
                <w:lang w:val="en-US" w:eastAsia="zh-CN"/>
              </w:rPr>
            </w:pPr>
            <w:r>
              <w:rPr>
                <w:rFonts w:hint="eastAsia" w:ascii="宋体" w:hAnsi="宋体" w:cs="宋体"/>
                <w:color w:val="000000"/>
                <w:sz w:val="24"/>
                <w:lang w:val="en-US" w:eastAsia="zh-CN"/>
              </w:rPr>
              <w:t>六</w:t>
            </w:r>
            <w:r>
              <w:rPr>
                <w:rFonts w:ascii="宋体" w:hAnsi="宋体" w:eastAsia="宋体" w:cs="宋体"/>
                <w:color w:val="000000"/>
                <w:sz w:val="24"/>
              </w:rPr>
              <w:t>、</w:t>
            </w:r>
            <w:r>
              <w:rPr>
                <w:rFonts w:hint="eastAsia" w:ascii="宋体" w:hAnsi="宋体" w:cs="宋体"/>
                <w:color w:val="000000"/>
                <w:sz w:val="24"/>
                <w:lang w:val="en-US" w:eastAsia="zh-CN"/>
              </w:rPr>
              <w:t>托管人报告</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656" w:hRule="exact"/>
        </w:trPr>
        <w:tc>
          <w:tcPr>
            <w:tcW w:w="9020" w:type="dxa"/>
            <w:gridSpan w:val="19"/>
            <w:tcMar>
              <w:top w:w="0" w:type="dxa"/>
              <w:left w:w="0" w:type="dxa"/>
              <w:bottom w:w="0" w:type="dxa"/>
              <w:right w:w="0" w:type="dxa"/>
            </w:tcMar>
            <w:vAlign w:val="top"/>
          </w:tcPr>
          <w:p>
            <w:pPr>
              <w:spacing w:before="0" w:after="0" w:line="300" w:lineRule="exact"/>
              <w:jc w:val="left"/>
              <w:rPr>
                <w:rFonts w:ascii="宋体" w:hAnsi="宋体" w:eastAsia="宋体" w:cs="宋体"/>
                <w:color w:val="000000"/>
                <w:sz w:val="24"/>
              </w:rPr>
            </w:pPr>
            <w:r>
              <w:rPr>
                <w:rFonts w:ascii="宋体" w:hAnsi="宋体" w:eastAsia="宋体" w:cs="宋体"/>
                <w:color w:val="000000"/>
                <w:sz w:val="24"/>
              </w:rPr>
              <w:t xml:space="preserve">    报告期内本产品托管人遵规守信情况声明。</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本报告期内，本产品托管人在对本产品的托管过程中，严格遵守法律法规和托管协议的有关规定，不存在损害理财产品份额持有人利益的行为，尽职尽责地履行了产品托管人应尽的义务</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托管人对报告期内本理财产品投资运作、净值计算、利润分配等情况的说明。</w:t>
            </w:r>
          </w:p>
          <w:p>
            <w:pPr>
              <w:spacing w:before="0" w:after="0" w:line="300" w:lineRule="exact"/>
              <w:ind w:firstLine="480" w:firstLineChars="200"/>
              <w:jc w:val="left"/>
              <w:rPr>
                <w:rFonts w:hint="default" w:ascii="宋体" w:hAnsi="宋体" w:eastAsia="宋体" w:cs="宋体"/>
                <w:color w:val="000000"/>
                <w:sz w:val="24"/>
                <w:lang w:val="en-US" w:eastAsia="zh-CN"/>
              </w:rPr>
            </w:pPr>
            <w:r>
              <w:rPr>
                <w:rFonts w:hint="eastAsia" w:ascii="宋体" w:hAnsi="宋体" w:eastAsia="宋体" w:cs="宋体"/>
                <w:color w:val="000000"/>
                <w:sz w:val="24"/>
              </w:rPr>
              <w:t>本报告期内，</w:t>
            </w:r>
            <w:r>
              <w:rPr>
                <w:rFonts w:hint="eastAsia" w:ascii="宋体" w:hAnsi="宋体" w:cs="宋体"/>
                <w:color w:val="000000"/>
                <w:sz w:val="24"/>
                <w:lang w:val="en-US" w:eastAsia="zh-CN"/>
              </w:rPr>
              <w:t>托管行在对我行理财产品财产托管过程中，依照国家有关规定、托管协议和其他相关规定，对理财净值计算、费用开支等方面进行了认真的复核，对理财资金的投资运作方面进行了监督，未发现损害投资者利益的行为。</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20"/>
        <w:gridCol w:w="80"/>
        <w:gridCol w:w="80"/>
        <w:gridCol w:w="3000"/>
        <w:gridCol w:w="200"/>
        <w:gridCol w:w="60"/>
        <w:gridCol w:w="5020"/>
        <w:gridCol w:w="120"/>
        <w:gridCol w:w="120"/>
        <w:gridCol w:w="60"/>
        <w:gridCol w:w="20"/>
        <w:gridCol w:w="20"/>
        <w:gridCol w:w="20"/>
        <w:gridCol w:w="20"/>
        <w:gridCol w:w="120"/>
        <w:gridCol w:w="20"/>
      </w:tblGrid>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5380" w:type="dxa"/>
            <w:gridSpan w:val="5"/>
            <w:tcMar>
              <w:top w:w="0" w:type="dxa"/>
              <w:left w:w="0" w:type="dxa"/>
              <w:bottom w:w="0" w:type="dxa"/>
              <w:right w:w="0" w:type="dxa"/>
            </w:tcMar>
            <w:vAlign w:val="center"/>
          </w:tcPr>
          <w:p>
            <w:pPr>
              <w:jc w:val="right"/>
            </w:pPr>
            <w:r>
              <w:rPr>
                <w:rFonts w:ascii="宋体" w:hAnsi="宋体" w:eastAsia="宋体" w:cs="宋体"/>
                <w:color w:val="000000"/>
                <w:sz w:val="24"/>
              </w:rPr>
              <w:t>承德银行股份有限公司</w:t>
            </w: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400" w:type="dxa"/>
            <w:gridSpan w:val="8"/>
            <w:tcMar>
              <w:top w:w="0" w:type="dxa"/>
              <w:left w:w="0" w:type="dxa"/>
              <w:bottom w:w="0" w:type="dxa"/>
              <w:right w:w="0" w:type="dxa"/>
            </w:tcMar>
            <w:vAlign w:val="top"/>
          </w:tcPr>
          <w:p>
            <w:pPr>
              <w:jc w:val="right"/>
            </w:pPr>
            <w:r>
              <w:rPr>
                <w:rFonts w:ascii="宋体" w:hAnsi="宋体" w:eastAsia="宋体" w:cs="宋体"/>
                <w:color w:val="000000"/>
                <w:sz w:val="24"/>
              </w:rPr>
              <w:t>202</w:t>
            </w:r>
            <w:r>
              <w:rPr>
                <w:rFonts w:hint="eastAsia" w:ascii="宋体" w:hAnsi="宋体" w:cs="宋体"/>
                <w:color w:val="000000"/>
                <w:sz w:val="24"/>
                <w:lang w:val="en-US" w:eastAsia="zh-CN"/>
              </w:rPr>
              <w:t>4</w:t>
            </w:r>
            <w:r>
              <w:rPr>
                <w:rFonts w:ascii="宋体" w:hAnsi="宋体" w:eastAsia="宋体" w:cs="宋体"/>
                <w:color w:val="000000"/>
                <w:sz w:val="24"/>
              </w:rPr>
              <w:t>年1月</w:t>
            </w:r>
            <w:r>
              <w:rPr>
                <w:rFonts w:hint="eastAsia" w:ascii="宋体" w:hAnsi="宋体" w:cs="宋体"/>
                <w:color w:val="000000"/>
                <w:sz w:val="24"/>
                <w:lang w:val="en-US" w:eastAsia="zh-CN"/>
              </w:rPr>
              <w:t>11</w:t>
            </w:r>
            <w:bookmarkStart w:id="0" w:name="_GoBack"/>
            <w:bookmarkEnd w:id="0"/>
            <w:r>
              <w:rPr>
                <w:rFonts w:ascii="宋体" w:hAnsi="宋体" w:eastAsia="宋体" w:cs="宋体"/>
                <w:color w:val="000000"/>
                <w:sz w:val="24"/>
              </w:rPr>
              <w:t>日</w:t>
            </w: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b/>
                <w:color w:val="000000"/>
                <w:sz w:val="24"/>
              </w:rPr>
              <w:t xml:space="preserve"> 免责声明</w:t>
            </w:r>
          </w:p>
        </w:tc>
      </w:tr>
      <w:tr>
        <w:tblPrEx>
          <w:tblLayout w:type="fixed"/>
          <w:tblCellMar>
            <w:top w:w="0" w:type="dxa"/>
            <w:left w:w="10" w:type="dxa"/>
            <w:bottom w:w="0" w:type="dxa"/>
            <w:right w:w="10" w:type="dxa"/>
          </w:tblCellMar>
        </w:tblPrEx>
        <w:trPr>
          <w:trHeight w:val="16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88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本报告内容仅供报告阅读者参考，一切商业决策均将由报告阅读者综合各方信息后自行作出，对于本报告所提供的信息导致的任何直接或间接的后果，管理人承德银行股份股份有限公司不承担任何责任。</w:t>
            </w:r>
            <w:r>
              <w:rPr>
                <w:rFonts w:ascii="宋体" w:hAnsi="宋体" w:eastAsia="宋体" w:cs="宋体"/>
                <w:color w:val="000000"/>
                <w:sz w:val="24"/>
              </w:rPr>
              <w:br w:type="textWrapping"/>
            </w:r>
            <w:r>
              <w:rPr>
                <w:rFonts w:ascii="宋体" w:hAnsi="宋体" w:eastAsia="宋体" w:cs="宋体"/>
                <w:color w:val="000000"/>
                <w:sz w:val="24"/>
              </w:rPr>
              <w:t xml:space="preserve">    本报告版权仅为管理人所有，未经书面许可任何机构和个人不得以任何形式翻版、复制和发表。除非是已被公开出版刊物正式刊登，否则，均应被视为非公开的研讨性分析行为。如引用、刊发，需注明出处为承德银行股份股份有限公司，且不得对本报告进行有悖原意的引用、删节和修改。</w:t>
            </w:r>
            <w:r>
              <w:rPr>
                <w:rFonts w:ascii="宋体" w:hAnsi="宋体" w:eastAsia="宋体" w:cs="宋体"/>
                <w:color w:val="000000"/>
                <w:sz w:val="24"/>
              </w:rPr>
              <w:br w:type="textWrapping"/>
            </w:r>
            <w:r>
              <w:rPr>
                <w:rFonts w:ascii="宋体" w:hAnsi="宋体" w:eastAsia="宋体" w:cs="宋体"/>
                <w:color w:val="000000"/>
                <w:sz w:val="24"/>
              </w:rPr>
              <w:t xml:space="preserve">    管理人承德银行股份股份有限公司对于本免责声明条款具有修改和最终解释权。</w:t>
            </w:r>
          </w:p>
        </w:tc>
      </w:tr>
    </w:tbl>
    <w:p>
      <w:pPr>
        <w:rPr>
          <w:rFonts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968BE"/>
    <w:rsid w:val="15807EC4"/>
    <w:rsid w:val="226939FE"/>
    <w:rsid w:val="23155069"/>
    <w:rsid w:val="2C594BE4"/>
    <w:rsid w:val="3F2325D1"/>
    <w:rsid w:val="404974D2"/>
    <w:rsid w:val="44941DA9"/>
    <w:rsid w:val="44B178A3"/>
    <w:rsid w:val="4E0C2362"/>
    <w:rsid w:val="5BC95FDE"/>
    <w:rsid w:val="61282638"/>
    <w:rsid w:val="614B4DF0"/>
    <w:rsid w:val="63E624DE"/>
    <w:rsid w:val="6BC54729"/>
    <w:rsid w:val="6EA0638B"/>
    <w:rsid w:val="6FCC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2023-04-28T01:55:00Z</dcterms:created>
  <dc:creator>huawei</dc:creator>
  <cp:lastModifiedBy>郭东媛</cp:lastModifiedBy>
  <dcterms:modified xsi:type="dcterms:W3CDTF">2024-01-11T07:28:30Z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