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承德银行承溢盈人民币理财产品第二百零五期（产品代码CYY0205）其关键要素如下：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截至2023年12月31日，本产品持仓前十大资产市值合计328.36万元，占全部持仓资产规模合计69.46%。产品持仓前十大资产如下：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4,594,000.00份，持有资产总规模为4,727,810.45元，产品资产净值为4,726,138.83元，单位净值为1.0288元，累计单位净值为1.0288元。本报告期内产品单位净值上涨0.0288元，自成立以来产品单位净值上涨0.0288元，成立至今实现年化收益率为12.6651%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