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承德银行承溢盈人民币理财产品第二百二十四期（产品代码CYY0224）其关键要素如下：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2023年12月6日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195天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9.60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90.13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截至2023年12月31日，本产品持仓前十大资产市值合计369.64万元，占全部持仓资产规模合计70.39%。产品持仓前十大资产如下：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30.63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5,196,000.00份，持有资产总规模为5,251,438.42元，产品资产净值为5,250,846.40元，单位净值为1.0106元，累计单位净值为1.0106元。本报告期内产品单位净值上涨0.0106元，自成立以来产品单位净值上涨0.0106元，成立至今实现年化收益率为14.8808%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