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承德银行承溢盈人民币理财产品第一百六十三期（产品代码CYY0163）其关键要素如下：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1.12</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9.57</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89.31</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截至2023年12月31日，本产品持仓前十大资产市值合计57</w:t>
            </w:r>
            <w:r>
              <w:rPr>
                <w:rFonts w:hint="eastAsia" w:ascii="宋体" w:hAnsi="宋体" w:eastAsia="宋体" w:cs="宋体"/>
                <w:color w:val="000000"/>
                <w:sz w:val="24"/>
                <w:lang w:val="en-US" w:eastAsia="zh-CN"/>
              </w:rPr>
              <w:t>6.14</w:t>
            </w:r>
            <w:bookmarkStart w:id="1" w:name="_GoBack"/>
            <w:bookmarkEnd w:id="1"/>
            <w:r>
              <w:rPr>
                <w:rFonts w:ascii="宋体" w:hAnsi="宋体" w:eastAsia="宋体" w:cs="宋体"/>
                <w:color w:val="000000"/>
                <w:sz w:val="24"/>
              </w:rPr>
              <w:t>万元，占全部持仓资产规模合计68.</w:t>
            </w:r>
            <w:r>
              <w:rPr>
                <w:rFonts w:hint="eastAsia" w:ascii="宋体" w:hAnsi="宋体" w:eastAsia="宋体" w:cs="宋体"/>
                <w:color w:val="000000"/>
                <w:sz w:val="24"/>
                <w:lang w:val="en-US" w:eastAsia="zh-CN"/>
              </w:rPr>
              <w:t>36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80.64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22广州银行二级资本债01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60.77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20华融湘江二级01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60.27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22杭州联合农商二级01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58.67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6.96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22华融湘江二级资本债01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57.41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6.76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56.99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6.76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21河北租赁债01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54.59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6.48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47.62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5.65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hint="eastAsia" w:ascii="宋体" w:hAnsi="宋体" w:eastAsia="宋体" w:cs="宋体"/>
                            <w:color w:val="000000"/>
                            <w:sz w:val="24"/>
                            <w:lang w:val="en-US" w:eastAsia="zh-CN"/>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42.19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5.01</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12月31日，本产品存续份额为8,119,000.00份，持有资产总规模为8,427,689.35元，产品资产净值为8,419,788.37元，单位净值为1.0370元，累计单位净值为1.0370元。本报告期内产品单位净值上涨0.029元，自成立以来产品单位净值上涨0.037元，成立至今实现年化收益率为6.0833%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7AA01E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2024-01-05T08:44:42Z</dcterms:created>
  <dc:creator>huawei</dc:creator>
  <cp:lastModifiedBy>郭东媛</cp:lastModifiedBy>
  <dcterms:modified xsi:type="dcterms:W3CDTF">2024-01-05T08:53:33Z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