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“承德银行承溢盈人民币理财产品第一百三十八期”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承德银行承溢盈人民币理财产品第一百三十八期（产品代码CYY0138）其关键要素如下：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C1089223000016</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2023年3月8日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2024年3月12日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370天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3.80%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0.16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99.84</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截至2023年12月31日，本产品持仓前十大资产市值合计517.43万元，占全部持仓资产规模合计69.59%。产品持仓前十大资产如下：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70.70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9.51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67.73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59.08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52.34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7.04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50.56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20绍兴银行二级03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44.44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43.98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20华融湘江二级01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43.61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20北湾银行二级01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42.56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22杭州联合农商二级01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42.45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5.71</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7,185,000.00份，持有资产总规模为7,436,093.84元，产品资产净值为7,432,562.65元，单位净值为1.0345元，累计单位净值为1.0345元。本报告期内产品单位净值上涨0.0318元，自成立以来产品单位净值上涨0.0345元，成立至今实现年化收益率为4.2115%。</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