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“承德银行承溢盈人民币理财产品第四十五期”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2022年第四季度运作情况报告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承德银行承溢盈人民币理财产品第四十五期（产品代码CYY0045）其关键要素如下：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C1089222000008</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2022年2月9日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2023年2月14日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4.15%</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截至2022年12月31日，本产品投资的持仓资产结构如下：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7"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资产类别</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vAlign w:val="center"/>
                </w:tcPr>
                <w:p>
                  <w:pPr>
                    <w:keepNext/>
                    <w:keepLines/>
                    <w:spacing w:line="360" w:lineRule="auto"/>
                    <w:jc w:val="center"/>
                  </w:pPr>
                  <w:r>
                    <w:rPr>
                      <w:rFonts w:hint="eastAsia" w:cs="Times New Roman" w:asciiTheme="minorEastAsia" w:hAnsiTheme="minorEastAsia"/>
                      <w:b/>
                      <w:bCs/>
                      <w:kern w:val="0"/>
                      <w:sz w:val="24"/>
                      <w:szCs w:val="24"/>
                      <w:highlight w:val="none"/>
                      <w:lang w:val="en-US" w:eastAsia="zh-CN"/>
                    </w:rPr>
                    <w:t>具体资产</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keepLines/>
                    <w:spacing w:line="360" w:lineRule="auto"/>
                    <w:jc w:val="center"/>
                  </w:pPr>
                  <w:r>
                    <w:rPr>
                      <w:rFonts w:cs="Times New Roman" w:asciiTheme="minorEastAsia" w:hAnsiTheme="minorEastAsia"/>
                      <w:b/>
                      <w:bCs/>
                      <w:kern w:val="0"/>
                      <w:sz w:val="24"/>
                      <w:szCs w:val="24"/>
                      <w:highlight w:val="none"/>
                    </w:rPr>
                    <w:t>占比</w:t>
                  </w: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现金及银行存款</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现金及活期存款</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cs="Times New Roman" w:asciiTheme="minorEastAsia" w:hAnsiTheme="minorEastAsia"/>
                      <w:kern w:val="0"/>
                      <w:sz w:val="24"/>
                      <w:szCs w:val="24"/>
                      <w:highlight w:val="none"/>
                      <w:lang w:val="en-US" w:eastAsia="zh-CN"/>
                    </w:rPr>
                    <w:t>0.01</w:t>
                  </w:r>
                </w:p>
              </w:tc>
            </w:tr>
            <w:tr>
              <w:tblPrEx>
                <w:tblLayout w:type="fixed"/>
                <w:tblCellMar>
                  <w:top w:w="0" w:type="dxa"/>
                  <w:left w:w="10" w:type="dxa"/>
                  <w:bottom w:w="0" w:type="dxa"/>
                  <w:right w:w="10" w:type="dxa"/>
                </w:tblCellMar>
              </w:tblPrEx>
              <w:trPr>
                <w:trHeight w:val="800" w:hRule="exact"/>
              </w:trPr>
              <w:tc>
                <w:tcPr>
                  <w:tcW w:w="2960" w:type="dxa"/>
                  <w:vMerge w:val="restart"/>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资产管理产品</w:t>
                  </w: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券商资产管理产品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48.79</w:t>
                  </w:r>
                </w:p>
              </w:tc>
            </w:tr>
            <w:tr>
              <w:tblPrEx>
                <w:tblLayout w:type="fixed"/>
                <w:tblCellMar>
                  <w:top w:w="0" w:type="dxa"/>
                  <w:left w:w="10" w:type="dxa"/>
                  <w:bottom w:w="0" w:type="dxa"/>
                  <w:right w:w="10" w:type="dxa"/>
                </w:tblCellMar>
              </w:tblPrEx>
              <w:trPr>
                <w:trHeight w:val="800" w:hRule="exact"/>
              </w:trPr>
              <w:tc>
                <w:tcPr>
                  <w:tcW w:w="2960" w:type="dxa"/>
                  <w:vMerge w:val="continue"/>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jc w:val="center"/>
                  </w:pPr>
                  <w:r>
                    <w:rPr>
                      <w:rFonts w:hint="eastAsia" w:cs="Times New Roman" w:asciiTheme="minorEastAsia" w:hAnsiTheme="minorEastAsia"/>
                      <w:kern w:val="0"/>
                      <w:sz w:val="24"/>
                      <w:szCs w:val="24"/>
                      <w:highlight w:val="none"/>
                      <w:lang w:val="en-US" w:eastAsia="zh-CN"/>
                    </w:rPr>
                    <w:t>信托产品</w:t>
                  </w: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pPr>
                  <w:r>
                    <w:rPr>
                      <w:rFonts w:hint="eastAsia" w:ascii="宋体" w:hAnsi="宋体" w:eastAsia="宋体" w:cs="宋体"/>
                      <w:i w:val="0"/>
                      <w:color w:val="000000"/>
                      <w:kern w:val="0"/>
                      <w:sz w:val="22"/>
                      <w:szCs w:val="22"/>
                      <w:u w:val="none"/>
                      <w:lang w:val="en-US" w:eastAsia="zh-CN" w:bidi="ar"/>
                    </w:rPr>
                    <w:t>51.2</w:t>
                  </w: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截至2022年12月31日，本产品持仓前十大资产市值合计</w:t>
            </w:r>
            <w:r>
              <w:rPr>
                <w:rFonts w:hint="eastAsia" w:ascii="宋体" w:hAnsi="宋体" w:cs="宋体"/>
                <w:color w:val="000000"/>
                <w:sz w:val="24"/>
                <w:lang w:val="en-US" w:eastAsia="zh-CN"/>
              </w:rPr>
              <w:t>3116.96</w:t>
            </w:r>
            <w:r>
              <w:rPr>
                <w:rFonts w:ascii="宋体" w:hAnsi="宋体" w:eastAsia="宋体" w:cs="宋体"/>
                <w:color w:val="000000"/>
                <w:sz w:val="24"/>
              </w:rPr>
              <w:t>万元，占全部持仓资产规模合计</w:t>
            </w:r>
            <w:r>
              <w:rPr>
                <w:rFonts w:hint="eastAsia" w:ascii="宋体" w:hAnsi="宋体" w:cs="宋体"/>
                <w:color w:val="000000"/>
                <w:sz w:val="24"/>
                <w:lang w:val="en-US" w:eastAsia="zh-CN"/>
              </w:rPr>
              <w:t>60.70</w:t>
            </w:r>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rPr>
                            <w:color w:val="auto"/>
                            <w:sz w:val="20"/>
                            <w:szCs w:val="20"/>
                          </w:rPr>
                        </w:pPr>
                        <w:r>
                          <w:rPr>
                            <w:rFonts w:ascii="宋体" w:hAnsi="宋体" w:eastAsia="宋体" w:cs="宋体"/>
                            <w:b/>
                            <w:color w:val="auto"/>
                            <w:sz w:val="20"/>
                            <w:szCs w:val="20"/>
                          </w:rPr>
                          <w:t>资产名称</w:t>
                        </w:r>
                      </w:p>
                    </w:tc>
                  </w:tr>
                </w:tbl>
                <w:p>
                  <w:pPr>
                    <w:pStyle w:val="4"/>
                    <w:jc w:val="center"/>
                    <w:rPr>
                      <w:color w:val="auto"/>
                      <w:sz w:val="20"/>
                      <w:szCs w:val="20"/>
                    </w:rP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color w:val="auto"/>
                            <w:sz w:val="20"/>
                            <w:szCs w:val="20"/>
                          </w:rPr>
                        </w:pPr>
                        <w:r>
                          <w:rPr>
                            <w:rFonts w:ascii="宋体" w:hAnsi="宋体" w:eastAsia="宋体" w:cs="宋体"/>
                            <w:b/>
                            <w:color w:val="auto"/>
                            <w:sz w:val="20"/>
                            <w:szCs w:val="20"/>
                          </w:rPr>
                          <w:t>持仓市值（万元）</w:t>
                        </w:r>
                      </w:p>
                    </w:tc>
                  </w:tr>
                </w:tbl>
                <w:p>
                  <w:pPr>
                    <w:pStyle w:val="4"/>
                    <w:jc w:val="center"/>
                    <w:rPr>
                      <w:color w:val="auto"/>
                      <w:sz w:val="20"/>
                      <w:szCs w:val="20"/>
                    </w:rPr>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tabs>
                            <w:tab w:val="center" w:pos="1362"/>
                            <w:tab w:val="right" w:pos="2600"/>
                          </w:tabs>
                          <w:jc w:val="center"/>
                          <w:rPr>
                            <w:rFonts w:hint="eastAsia" w:eastAsia="宋体"/>
                            <w:color w:val="auto"/>
                            <w:sz w:val="20"/>
                            <w:szCs w:val="20"/>
                            <w:lang w:eastAsia="zh-CN"/>
                          </w:rPr>
                        </w:pPr>
                        <w:r>
                          <w:rPr>
                            <w:rFonts w:ascii="宋体" w:hAnsi="宋体" w:eastAsia="宋体" w:cs="宋体"/>
                            <w:b/>
                            <w:color w:val="auto"/>
                            <w:sz w:val="20"/>
                            <w:szCs w:val="20"/>
                          </w:rPr>
                          <w:t>占比</w:t>
                        </w:r>
                      </w:p>
                    </w:tc>
                  </w:tr>
                </w:tbl>
                <w:p>
                  <w:pPr>
                    <w:pStyle w:val="4"/>
                    <w:jc w:val="center"/>
                    <w:rPr>
                      <w:color w:val="auto"/>
                      <w:sz w:val="20"/>
                      <w:szCs w:val="20"/>
                    </w:rPr>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22湖州银行二级01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346.53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2"/>
                      <w:szCs w:val="22"/>
                      <w:u w:val="none"/>
                      <w:lang w:val="en-US" w:eastAsia="zh-CN" w:bidi="ar"/>
                    </w:rPr>
                    <w:t>6.75%</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22汉口银行二级01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341.59</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2"/>
                      <w:szCs w:val="22"/>
                      <w:u w:val="none"/>
                      <w:lang w:val="en-US" w:eastAsia="zh-CN" w:bidi="ar"/>
                    </w:rPr>
                    <w:t>6.65%</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21河北租赁债01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339.31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2"/>
                      <w:szCs w:val="22"/>
                      <w:u w:val="none"/>
                      <w:lang w:val="en-US" w:eastAsia="zh-CN" w:bidi="ar"/>
                    </w:rPr>
                    <w:t>6.61%</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22长沙农商行二级资本债01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334.82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2"/>
                      <w:szCs w:val="22"/>
                      <w:u w:val="none"/>
                      <w:lang w:val="en-US" w:eastAsia="zh-CN" w:bidi="ar"/>
                    </w:rPr>
                    <w:t>6.52%</w:t>
                  </w:r>
                </w:p>
              </w:tc>
            </w:tr>
            <w:tr>
              <w:tblPrEx>
                <w:tblLayout w:type="fixed"/>
                <w:tblCellMar>
                  <w:top w:w="0" w:type="dxa"/>
                  <w:left w:w="10" w:type="dxa"/>
                  <w:bottom w:w="0" w:type="dxa"/>
                  <w:right w:w="10" w:type="dxa"/>
                </w:tblCellMar>
              </w:tblPrEx>
              <w:trPr>
                <w:trHeight w:val="82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22威海商行二级资本债01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333.48</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2"/>
                      <w:szCs w:val="22"/>
                      <w:u w:val="none"/>
                      <w:lang w:val="en-US" w:eastAsia="zh-CN" w:bidi="ar"/>
                    </w:rPr>
                    <w:t>6.49%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21金海02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325.12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2"/>
                      <w:szCs w:val="22"/>
                      <w:u w:val="none"/>
                      <w:lang w:val="en-US" w:eastAsia="zh-CN" w:bidi="ar"/>
                    </w:rPr>
                    <w:t>6.33%</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17宁夏银行二级01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287.77</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2"/>
                      <w:szCs w:val="22"/>
                      <w:u w:val="none"/>
                      <w:lang w:val="en-US" w:eastAsia="zh-CN" w:bidi="ar"/>
                    </w:rPr>
                    <w:t>5.60%</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20北湾银行二级01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287.02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2"/>
                      <w:szCs w:val="22"/>
                      <w:u w:val="none"/>
                      <w:lang w:val="en-US" w:eastAsia="zh-CN" w:bidi="ar"/>
                    </w:rPr>
                    <w:t>5.59%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21海陵03</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261.21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2"/>
                      <w:szCs w:val="22"/>
                      <w:u w:val="none"/>
                      <w:lang w:val="en-US" w:eastAsia="zh-CN" w:bidi="ar"/>
                    </w:rPr>
                    <w:t>5.09%</w:t>
                  </w: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20仪征02</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0"/>
                      <w:szCs w:val="20"/>
                      <w:u w:val="none"/>
                      <w:lang w:val="en-US" w:eastAsia="zh-CN" w:bidi="ar"/>
                    </w:rPr>
                    <w:t>260.11</w:t>
                  </w: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vAlign w:val="center"/>
                </w:tcPr>
                <w:p>
                  <w:pPr>
                    <w:keepNext w:val="0"/>
                    <w:keepLines w:val="0"/>
                    <w:widowControl/>
                    <w:suppressLineNumbers w:val="0"/>
                    <w:jc w:val="center"/>
                    <w:textAlignment w:val="center"/>
                    <w:rPr>
                      <w:color w:val="auto"/>
                      <w:sz w:val="20"/>
                      <w:szCs w:val="20"/>
                    </w:rPr>
                  </w:pPr>
                  <w:r>
                    <w:rPr>
                      <w:rFonts w:hint="eastAsia" w:ascii="宋体" w:hAnsi="宋体" w:eastAsia="宋体" w:cs="宋体"/>
                      <w:i w:val="0"/>
                      <w:color w:val="000000"/>
                      <w:kern w:val="0"/>
                      <w:sz w:val="22"/>
                      <w:szCs w:val="22"/>
                      <w:u w:val="none"/>
                      <w:lang w:val="en-US" w:eastAsia="zh-CN" w:bidi="ar"/>
                    </w:rPr>
                    <w:t>5.07%</w:t>
                  </w: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2022年12月31日，本产品存续份额为50,000,000.00份，持有资产总规模为51,353,221.55元，产品资产净值为51,281,768.87元，单位净值为1.0256元，累计单位净值为1.0256元。本报告期内产品单位净值上涨-0.0029元，自成立以来产品单位净值上涨0.0256元，成立至今实现年化收益率为2.5254%。</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2023年1月</w:t>
            </w:r>
            <w:r>
              <w:rPr>
                <w:rFonts w:hint="eastAsia" w:ascii="宋体" w:hAnsi="宋体" w:cs="宋体"/>
                <w:color w:val="000000"/>
                <w:sz w:val="24"/>
                <w:lang w:val="en-US" w:eastAsia="zh-CN"/>
              </w:rPr>
              <w:t>5</w:t>
            </w:r>
            <w:bookmarkStart w:id="1" w:name="_GoBack"/>
            <w:bookmarkEnd w:id="1"/>
            <w:r>
              <w:rPr>
                <w:rFonts w:ascii="宋体" w:hAnsi="宋体" w:eastAsia="宋体" w:cs="宋体"/>
                <w:color w:val="000000"/>
                <w:sz w:val="24"/>
              </w:rPr>
              <w:t>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8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5"/>
  <w:bordersDoNotSurroundHeader w:val="0"/>
  <w:bordersDoNotSurroundFooter w:val="0"/>
  <w:documentProtection w:enforcement="0"/>
  <w:defaultTabStop w:val="800"/>
  <w:displayHorizontalDrawingGridEvery w:val="1"/>
  <w:displayVerticalDrawingGridEvery w:val="1"/>
  <w:noPunctuationKerning w:val="1"/>
  <w:compat>
    <w:doNotExpandShiftReturn/>
    <w:doNotWrapTextWithPunct/>
    <w:doNotUseEastAsianBreakRules/>
    <w:useFELayout/>
    <w:doNotUseIndentAsNumberingTabStop/>
    <w:useAltKinsokuLineBreakRules/>
    <w:splitPgBreakAndParaMark/>
    <w:compatSetting w:name="compatibilityMode" w:uri="http://schemas.microsoft.com/office/word" w:val="12"/>
  </w:compat>
  <w:rsids>
    <w:rsidRoot w:val="00000000"/>
    <w:rsid w:val="1DF93F51"/>
    <w:rsid w:val="3D6E4AFB"/>
    <w:rsid w:val="4FDD5EE0"/>
    <w:rsid w:val="77186316"/>
    <w:rsid w:val="78A435F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sz w:val="21"/>
      <w:szCs w:val="22"/>
    </w:rPr>
  </w:style>
  <w:style w:type="character" w:default="1" w:styleId="3">
    <w:name w:val="Default Paragraph Font"/>
    <w:semiHidden/>
    <w:uiPriority w:val="0"/>
  </w:style>
  <w:style w:type="table" w:default="1" w:styleId="2">
    <w:name w:val="Normal Table"/>
    <w:semiHidden/>
    <w:unhideWhenUsed/>
    <w:qFormat/>
    <w:uiPriority w:val="99"/>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2023-01-12T07:22:00Z</dcterms:created>
  <dc:creator>huawei</dc:creator>
  <cp:lastModifiedBy>郭东媛</cp:lastModifiedBy>
  <dcterms:modified xsi:type="dcterms:W3CDTF">2023-01-19T06:22:43Z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