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9082" w:type="dxa"/>
        <w:tblInd w:w="0" w:type="dxa"/>
        <w:tblLayout w:type="fixed"/>
        <w:tblCellMar>
          <w:top w:w="0" w:type="dxa"/>
          <w:left w:w="10" w:type="dxa"/>
          <w:bottom w:w="0" w:type="dxa"/>
          <w:right w:w="10" w:type="dxa"/>
        </w:tblCellMar>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blPrEx>
          <w:tblLayout w:type="fixed"/>
          <w:tblCellMar>
            <w:top w:w="0" w:type="dxa"/>
            <w:left w:w="10" w:type="dxa"/>
            <w:bottom w:w="0" w:type="dxa"/>
            <w:right w:w="10" w:type="dxa"/>
          </w:tblCellMar>
        </w:tblPrEx>
        <w:trPr>
          <w:trHeight w:val="0" w:hRule="atLeast"/>
        </w:trPr>
        <w:tc>
          <w:tcPr>
            <w:tcW w:w="1" w:type="dxa"/>
          </w:tcPr>
          <w:p>
            <w:pPr>
              <w:pStyle w:val="4"/>
            </w:pPr>
            <w:bookmarkStart w:id="0" w:name="JR_PAGE_ANCHOR_0_1"/>
            <w:bookmarkEnd w:id="0"/>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“承德银行承溢盈人民币理财产品第四十七期”</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9000" w:type="dxa"/>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2022年第四季度运作情况报告</w:t>
            </w: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r>
              <w:rPr>
                <w:rFonts w:ascii="宋体" w:hAnsi="宋体" w:eastAsia="宋体" w:cs="宋体"/>
                <w:color w:val="000000"/>
                <w:sz w:val="24"/>
              </w:rPr>
              <w:t>一、产品情况介绍</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r>
              <w:rPr>
                <w:rFonts w:ascii="宋体" w:hAnsi="宋体" w:eastAsia="宋体" w:cs="宋体"/>
                <w:color w:val="000000"/>
                <w:sz w:val="24"/>
              </w:rPr>
              <w:t xml:space="preserve">       （一）产品要素</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6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承德银行承溢盈人民币理财产品第四十七期（产品代码CYY0047）其关键要素如下：</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中债产品登记编码</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360" w:lineRule="auto"/>
              <w:ind w:left="300"/>
              <w:jc w:val="left"/>
            </w:pPr>
            <w:r>
              <w:rPr>
                <w:rFonts w:ascii="宋体" w:hAnsi="宋体" w:eastAsia="宋体" w:cs="宋体"/>
                <w:color w:val="000000"/>
                <w:sz w:val="24"/>
              </w:rPr>
              <w:t>C1089222000010</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起息日</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2022年2月23日</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到期日</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2023年2月7日</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产品期限</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349天</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产品投资类型</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固定收益类</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业绩比较基准</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4.10%</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产品管理人</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承德银行股份有限公司</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产品托管人</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宁波银行北京分行</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460" w:type="dxa"/>
            <w:gridSpan w:val="7"/>
            <w:tcMar>
              <w:top w:w="0" w:type="dxa"/>
              <w:left w:w="0" w:type="dxa"/>
              <w:bottom w:w="0" w:type="dxa"/>
              <w:right w:w="0" w:type="dxa"/>
            </w:tcMar>
            <w:vAlign w:val="top"/>
          </w:tcPr>
          <w:p>
            <w:r>
              <w:rPr>
                <w:rFonts w:ascii="宋体" w:hAnsi="宋体" w:eastAsia="宋体" w:cs="宋体"/>
                <w:color w:val="000000"/>
                <w:sz w:val="24"/>
              </w:rPr>
              <w:t>二、产品持仓状况</w:t>
            </w: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80" w:hRule="exact"/>
        </w:trPr>
        <w:tc>
          <w:tcPr>
            <w:tcW w:w="1" w:type="dxa"/>
          </w:tcPr>
          <w:p>
            <w:pPr>
              <w:pStyle w:val="4"/>
            </w:pPr>
          </w:p>
        </w:tc>
        <w:tc>
          <w:tcPr>
            <w:tcW w:w="20" w:type="dxa"/>
          </w:tcPr>
          <w:p>
            <w:pPr>
              <w:pStyle w:val="4"/>
            </w:pPr>
          </w:p>
        </w:tc>
        <w:tc>
          <w:tcPr>
            <w:tcW w:w="20" w:type="dxa"/>
          </w:tcPr>
          <w:p>
            <w:pPr>
              <w:pStyle w:val="4"/>
            </w:pPr>
          </w:p>
        </w:tc>
        <w:tc>
          <w:tcPr>
            <w:tcW w:w="8460" w:type="dxa"/>
            <w:gridSpan w:val="7"/>
            <w:tcMar>
              <w:top w:w="0" w:type="dxa"/>
              <w:left w:w="0" w:type="dxa"/>
              <w:bottom w:w="0" w:type="dxa"/>
              <w:right w:w="0" w:type="dxa"/>
            </w:tcMar>
            <w:vAlign w:val="top"/>
          </w:tcPr>
          <w:p>
            <w:pPr>
              <w:spacing w:before="0" w:after="0" w:line="3600" w:lineRule="auto"/>
              <w:jc w:val="left"/>
            </w:pPr>
            <w:r>
              <w:rPr>
                <w:rFonts w:ascii="宋体" w:hAnsi="宋体" w:eastAsia="宋体" w:cs="宋体"/>
                <w:color w:val="000000"/>
                <w:sz w:val="24"/>
              </w:rPr>
              <w:t xml:space="preserve">       截至2022年12月31日，本产品投资的持仓资产结构如下：</w:t>
            </w: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228"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8400" w:type="dxa"/>
            <w:gridSpan w:val="5"/>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8400" w:type="dxa"/>
              <w:tblInd w:w="0" w:type="dxa"/>
              <w:tblLayout w:type="fixed"/>
              <w:tblCellMar>
                <w:top w:w="0" w:type="dxa"/>
                <w:left w:w="10" w:type="dxa"/>
                <w:bottom w:w="0" w:type="dxa"/>
                <w:right w:w="10" w:type="dxa"/>
              </w:tblCellMar>
            </w:tblPr>
            <w:tblGrid>
              <w:gridCol w:w="2960"/>
              <w:gridCol w:w="2960"/>
              <w:gridCol w:w="2480"/>
            </w:tblGrid>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keepLines/>
                    <w:spacing w:line="360" w:lineRule="auto"/>
                    <w:jc w:val="center"/>
                  </w:pPr>
                  <w:r>
                    <w:rPr>
                      <w:rFonts w:hint="eastAsia" w:cs="Times New Roman" w:asciiTheme="minorEastAsia" w:hAnsiTheme="minorEastAsia"/>
                      <w:b/>
                      <w:bCs/>
                      <w:kern w:val="0"/>
                      <w:sz w:val="24"/>
                      <w:szCs w:val="24"/>
                      <w:highlight w:val="none"/>
                      <w:lang w:val="en-US" w:eastAsia="zh-CN"/>
                    </w:rPr>
                    <w:t>资产类别</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20" w:type="dxa"/>
                  </w:tcMar>
                  <w:vAlign w:val="center"/>
                </w:tcPr>
                <w:p>
                  <w:pPr>
                    <w:keepNext/>
                    <w:keepLines/>
                    <w:spacing w:line="360" w:lineRule="auto"/>
                    <w:jc w:val="center"/>
                  </w:pPr>
                  <w:r>
                    <w:rPr>
                      <w:rFonts w:hint="eastAsia" w:cs="Times New Roman" w:asciiTheme="minorEastAsia" w:hAnsiTheme="minorEastAsia"/>
                      <w:b/>
                      <w:bCs/>
                      <w:kern w:val="0"/>
                      <w:sz w:val="24"/>
                      <w:szCs w:val="24"/>
                      <w:highlight w:val="none"/>
                      <w:lang w:val="en-US" w:eastAsia="zh-CN"/>
                    </w:rPr>
                    <w:t>具体资产</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keepLines/>
                    <w:spacing w:line="360" w:lineRule="auto"/>
                    <w:jc w:val="center"/>
                  </w:pPr>
                  <w:r>
                    <w:rPr>
                      <w:rFonts w:cs="Times New Roman" w:asciiTheme="minorEastAsia" w:hAnsiTheme="minorEastAsia"/>
                      <w:b/>
                      <w:bCs/>
                      <w:kern w:val="0"/>
                      <w:sz w:val="24"/>
                      <w:szCs w:val="24"/>
                      <w:highlight w:val="none"/>
                    </w:rPr>
                    <w:t>占比</w:t>
                  </w:r>
                  <w:r>
                    <w:rPr>
                      <w:rFonts w:hint="eastAsia" w:cs="Times New Roman" w:asciiTheme="minorEastAsia" w:hAnsiTheme="minorEastAsia"/>
                      <w:b/>
                      <w:bCs/>
                      <w:kern w:val="0"/>
                      <w:sz w:val="24"/>
                      <w:szCs w:val="24"/>
                      <w:highlight w:val="none"/>
                    </w:rPr>
                    <w:t>（%）</w:t>
                  </w:r>
                </w:p>
              </w:tc>
            </w:tr>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现金及银行存款</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现金及活期存款</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cs="Times New Roman" w:asciiTheme="minorEastAsia" w:hAnsiTheme="minorEastAsia"/>
                      <w:kern w:val="0"/>
                      <w:sz w:val="24"/>
                      <w:szCs w:val="24"/>
                      <w:highlight w:val="none"/>
                      <w:lang w:val="en-US" w:eastAsia="zh-CN"/>
                    </w:rPr>
                    <w:t>0.03</w:t>
                  </w:r>
                </w:p>
              </w:tc>
            </w:tr>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资产管理产品</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券商资产管理产品</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94.2</w:t>
                  </w:r>
                </w:p>
              </w:tc>
            </w:tr>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非标准化债权类资产</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收益凭证</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5.76</w:t>
                  </w:r>
                </w:p>
              </w:tc>
            </w:tr>
          </w:tbl>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三、产品持仓十大资产</w:t>
            </w: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截至2022年12月31日，本产品持仓前十大资产市值合计</w:t>
            </w:r>
            <w:r>
              <w:rPr>
                <w:rFonts w:hint="eastAsia" w:ascii="宋体" w:hAnsi="宋体" w:cs="宋体"/>
                <w:color w:val="000000"/>
                <w:sz w:val="24"/>
                <w:lang w:val="en-US" w:eastAsia="zh-CN"/>
              </w:rPr>
              <w:t>3406.88</w:t>
            </w:r>
            <w:r>
              <w:rPr>
                <w:rFonts w:ascii="宋体" w:hAnsi="宋体" w:eastAsia="宋体" w:cs="宋体"/>
                <w:color w:val="000000"/>
                <w:sz w:val="24"/>
              </w:rPr>
              <w:t>万元，占全部持仓资产规模合计</w:t>
            </w:r>
            <w:r>
              <w:rPr>
                <w:rFonts w:hint="eastAsia" w:ascii="宋体" w:hAnsi="宋体" w:cs="宋体"/>
                <w:color w:val="000000"/>
                <w:sz w:val="24"/>
                <w:lang w:val="en-US" w:eastAsia="zh-CN"/>
              </w:rPr>
              <w:t>70.15</w:t>
            </w:r>
            <w:r>
              <w:rPr>
                <w:rFonts w:ascii="宋体" w:hAnsi="宋体" w:eastAsia="宋体" w:cs="宋体"/>
                <w:color w:val="000000"/>
                <w:sz w:val="24"/>
              </w:rPr>
              <w:t>%。产品持仓前十大资产如下：</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600" w:type="dxa"/>
            <w:gridSpan w:val="7"/>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8600" w:type="dxa"/>
              <w:tblInd w:w="0" w:type="dxa"/>
              <w:tblLayout w:type="fixed"/>
              <w:tblCellMar>
                <w:top w:w="0" w:type="dxa"/>
                <w:left w:w="10" w:type="dxa"/>
                <w:bottom w:w="0" w:type="dxa"/>
                <w:right w:w="10" w:type="dxa"/>
              </w:tblCellMar>
            </w:tblPr>
            <w:tblGrid>
              <w:gridCol w:w="3400"/>
              <w:gridCol w:w="2600"/>
              <w:gridCol w:w="2600"/>
            </w:tblGrid>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b/>
                            <w:color w:val="000000"/>
                            <w:sz w:val="24"/>
                          </w:rPr>
                          <w:t>资产名称</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b/>
                            <w:color w:val="000000"/>
                            <w:sz w:val="24"/>
                          </w:rPr>
                          <w:t>持仓市值（万元）</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b/>
                            <w:color w:val="000000"/>
                            <w:sz w:val="24"/>
                          </w:rPr>
                          <w:t>占比</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22湖州银行二级01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372.45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7.67%</w:t>
                  </w:r>
                </w:p>
              </w:tc>
            </w:tr>
            <w:tr>
              <w:tblPrEx>
                <w:tblLayout w:type="fixed"/>
                <w:tblCellMar>
                  <w:top w:w="0" w:type="dxa"/>
                  <w:left w:w="10" w:type="dxa"/>
                  <w:bottom w:w="0" w:type="dxa"/>
                  <w:right w:w="10" w:type="dxa"/>
                </w:tblCellMar>
              </w:tblPrEx>
              <w:trPr>
                <w:trHeight w:val="82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22汉口银行二级01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367.14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7.56%</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21河北租赁债01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364.69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7.51%</w:t>
                  </w:r>
                </w:p>
              </w:tc>
            </w:tr>
            <w:tr>
              <w:tblPrEx>
                <w:tblLayout w:type="fixed"/>
                <w:tblCellMar>
                  <w:top w:w="0" w:type="dxa"/>
                  <w:left w:w="10" w:type="dxa"/>
                  <w:bottom w:w="0" w:type="dxa"/>
                  <w:right w:w="10" w:type="dxa"/>
                </w:tblCellMar>
              </w:tblPrEx>
              <w:trPr>
                <w:trHeight w:val="82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22长沙农商行二级资本债01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359.87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7.41%</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22威海商行二级资本债01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358.42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7.38%</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20华融湘江二级01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331.28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6.82%</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21承德国控PPN001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316.36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6.51%</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21承德国控PPN002</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314.15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6.47%</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20威海银行二级</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313.17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6.45%</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22杭州联合农商二级01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309.34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6.37%</w:t>
                  </w:r>
                </w:p>
              </w:tc>
            </w:tr>
          </w:tbl>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2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四、理财产品业绩表现</w:t>
            </w: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9020" w:type="dxa"/>
            <w:gridSpan w:val="17"/>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2022年12月31日，本产品存续份额为48,254,000.00份，持有资产总规模为48,565,675.80元，产品资产净值为48,555,602.16元，单位净值为1.0063元，累计单位净值为1.0063元。本报告期内产品单位净值上涨-0.0107元，自成立以来产品单位净值上涨0.0063元，成立至今实现年化收益率为0.6589%。</w:t>
            </w:r>
          </w:p>
        </w:tc>
        <w:tc>
          <w:tcPr>
            <w:tcW w:w="1" w:type="dxa"/>
          </w:tcPr>
          <w:p>
            <w:pPr>
              <w:pStyle w:val="4"/>
            </w:pPr>
          </w:p>
        </w:tc>
      </w:tr>
      <w:tr>
        <w:tblPrEx>
          <w:tblLayout w:type="fixed"/>
          <w:tblCellMar>
            <w:top w:w="0" w:type="dxa"/>
            <w:left w:w="10" w:type="dxa"/>
            <w:bottom w:w="0" w:type="dxa"/>
            <w:right w:w="10" w:type="dxa"/>
          </w:tblCellMar>
        </w:tblPrEx>
        <w:trPr>
          <w:trHeight w:val="6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五、产品组合流动性风险分析</w:t>
            </w: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94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六、本报告期主要操作回顾</w:t>
            </w: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8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2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5380" w:type="dxa"/>
            <w:gridSpan w:val="5"/>
            <w:tcMar>
              <w:top w:w="0" w:type="dxa"/>
              <w:left w:w="0" w:type="dxa"/>
              <w:bottom w:w="0" w:type="dxa"/>
              <w:right w:w="0" w:type="dxa"/>
            </w:tcMar>
            <w:vAlign w:val="center"/>
          </w:tcPr>
          <w:p>
            <w:pPr>
              <w:jc w:val="right"/>
            </w:pPr>
            <w:r>
              <w:rPr>
                <w:rFonts w:ascii="宋体" w:hAnsi="宋体" w:eastAsia="宋体" w:cs="宋体"/>
                <w:color w:val="000000"/>
                <w:sz w:val="24"/>
              </w:rPr>
              <w:t>承德银行股份有限公司</w:t>
            </w: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400" w:type="dxa"/>
            <w:gridSpan w:val="8"/>
            <w:tcMar>
              <w:top w:w="0" w:type="dxa"/>
              <w:left w:w="0" w:type="dxa"/>
              <w:bottom w:w="0" w:type="dxa"/>
              <w:right w:w="0" w:type="dxa"/>
            </w:tcMar>
            <w:vAlign w:val="top"/>
          </w:tcPr>
          <w:p>
            <w:pPr>
              <w:jc w:val="right"/>
            </w:pPr>
            <w:r>
              <w:rPr>
                <w:rFonts w:ascii="宋体" w:hAnsi="宋体" w:eastAsia="宋体" w:cs="宋体"/>
                <w:color w:val="000000"/>
                <w:sz w:val="24"/>
              </w:rPr>
              <w:t>2023年1月</w:t>
            </w:r>
            <w:r>
              <w:rPr>
                <w:rFonts w:hint="eastAsia" w:ascii="宋体" w:hAnsi="宋体" w:cs="宋体"/>
                <w:color w:val="000000"/>
                <w:sz w:val="24"/>
                <w:lang w:val="en-US" w:eastAsia="zh-CN"/>
              </w:rPr>
              <w:t>5</w:t>
            </w:r>
            <w:bookmarkStart w:id="1" w:name="_GoBack"/>
            <w:bookmarkEnd w:id="1"/>
            <w:r>
              <w:rPr>
                <w:rFonts w:ascii="宋体" w:hAnsi="宋体" w:eastAsia="宋体" w:cs="宋体"/>
                <w:color w:val="000000"/>
                <w:sz w:val="24"/>
              </w:rPr>
              <w:t>日</w:t>
            </w: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b/>
                <w:color w:val="000000"/>
                <w:sz w:val="24"/>
              </w:rPr>
              <w:t xml:space="preserve"> 免责声明</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880" w:hRule="exact"/>
        </w:trPr>
        <w:tc>
          <w:tcPr>
            <w:tcW w:w="1"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本报告内容仅供报告阅读者参考，一切商业决策均将由报告阅读者综合各方信息后自行作出，对于本报告所提供的信息导致的任何直接或间接的后果，管理人承德银行股份股份有限公司不承担任何责任。</w:t>
            </w:r>
            <w:r>
              <w:rPr>
                <w:rFonts w:ascii="宋体" w:hAnsi="宋体" w:eastAsia="宋体" w:cs="宋体"/>
                <w:color w:val="000000"/>
                <w:sz w:val="24"/>
              </w:rPr>
              <w:br w:type="textWrapping"/>
            </w:r>
            <w:r>
              <w:rPr>
                <w:rFonts w:ascii="宋体" w:hAnsi="宋体" w:eastAsia="宋体" w:cs="宋体"/>
                <w:color w:val="000000"/>
                <w:sz w:val="24"/>
              </w:rP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股份有限公司，且不得对本报告进行有悖原意的引用、删节和修改。</w:t>
            </w:r>
            <w:r>
              <w:rPr>
                <w:rFonts w:ascii="宋体" w:hAnsi="宋体" w:eastAsia="宋体" w:cs="宋体"/>
                <w:color w:val="000000"/>
                <w:sz w:val="24"/>
              </w:rPr>
              <w:br w:type="textWrapping"/>
            </w:r>
            <w:r>
              <w:rPr>
                <w:rFonts w:ascii="宋体" w:hAnsi="宋体" w:eastAsia="宋体" w:cs="宋体"/>
                <w:color w:val="000000"/>
                <w:sz w:val="24"/>
              </w:rPr>
              <w:t xml:space="preserve">    管理人承德银行股份股份有限公司对于本免责声明条款具有修改和最终解释权。</w:t>
            </w:r>
          </w:p>
        </w:tc>
        <w:tc>
          <w:tcPr>
            <w:tcW w:w="20" w:type="dxa"/>
          </w:tcPr>
          <w:p>
            <w:pPr>
              <w:pStyle w:val="4"/>
            </w:pPr>
          </w:p>
        </w:tc>
        <w:tc>
          <w:tcPr>
            <w:tcW w:w="40" w:type="dxa"/>
          </w:tcPr>
          <w:p>
            <w:pPr>
              <w:pStyle w:val="4"/>
            </w:pPr>
          </w:p>
        </w:tc>
        <w:tc>
          <w:tcPr>
            <w:tcW w:w="1" w:type="dxa"/>
          </w:tcPr>
          <w:p>
            <w:pPr>
              <w:pStyle w:val="4"/>
            </w:pPr>
          </w:p>
        </w:tc>
      </w:tr>
    </w:tbl>
    <w:p/>
    <w:sectPr>
      <w:pgSz w:w="11900" w:h="45260"/>
      <w:pgMar w:top="220" w:right="1400" w:bottom="1080" w:left="1420" w:header="0" w:footer="0" w:gutter="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5"/>
  <w:bordersDoNotSurroundHeader w:val="0"/>
  <w:bordersDoNotSurroundFooter w:val="0"/>
  <w:documentProtection w:enforcement="0"/>
  <w:defaultTabStop w:val="800"/>
  <w:displayHorizontalDrawingGridEvery w:val="1"/>
  <w:displayVerticalDrawingGridEvery w:val="1"/>
  <w:noPunctuationKerning w:val="1"/>
  <w:compat>
    <w:doNotExpandShiftReturn/>
    <w:doNotWrapTextWithPunct/>
    <w:doNotUseEastAsianBreakRules/>
    <w:useFELayout/>
    <w:doNotUseIndentAsNumberingTabStop/>
    <w:useAltKinsokuLineBreakRules/>
    <w:splitPgBreakAndParaMark/>
    <w:compatSetting w:name="compatibilityMode" w:uri="http://schemas.microsoft.com/office/word" w:val="12"/>
  </w:compat>
  <w:rsids>
    <w:rsidRoot w:val="00000000"/>
    <w:rsid w:val="0DB80A50"/>
    <w:rsid w:val="2985258D"/>
    <w:rsid w:val="37CB5437"/>
    <w:rsid w:val="65257FF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sz w:val="21"/>
      <w:szCs w:val="22"/>
    </w:rPr>
  </w:style>
  <w:style w:type="character" w:default="1" w:styleId="3">
    <w:name w:val="Default Paragraph Font"/>
    <w:semiHidden/>
    <w:uiPriority w:val="0"/>
  </w:style>
  <w:style w:type="table" w:default="1" w:styleId="2">
    <w:name w:val="Normal Table"/>
    <w:semiHidden/>
    <w:unhideWhenUsed/>
    <w:qFormat/>
    <w:uiPriority w:val="99"/>
    <w:tblPr>
      <w:tblLayout w:type="fixed"/>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_C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1</TotalTime>
  <ScaleCrop>false</ScaleCrop>
  <LinksUpToDate>false</LinksUpToDate>
  <Application>WPS Office_11.8.2.8276_F1E327BC-269C-435d-A152-05C5408002CA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2023-01-12T07:09:00Z</dcterms:created>
  <dc:creator>huawei</dc:creator>
  <cp:lastModifiedBy>郭东媛</cp:lastModifiedBy>
  <dcterms:modified xsi:type="dcterms:W3CDTF">2023-01-19T06:22:34Z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2052-11.8.2.8276</vt:lpwstr>
  </property>
</Properties>
</file>