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“承德银行承溢盈人民币理财产品第六十六期”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2022年第四季度运作情况报告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承德银行承溢盈人民币理财产品第六十六期（产品代码CYY0066）其关键要素如下：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C1089222000029</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2022年5月25日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2023年5月23日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363天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4.00%</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截至2022年12月31日，本产品投资的持仓资产结构如下：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17"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资产类别</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具体资产</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cs="Times New Roman" w:asciiTheme="minorEastAsia" w:hAnsiTheme="minorEastAsia"/>
                      <w:b/>
                      <w:bCs/>
                      <w:kern w:val="0"/>
                      <w:sz w:val="24"/>
                      <w:szCs w:val="24"/>
                      <w:highlight w:val="none"/>
                    </w:rPr>
                    <w:t>占比</w:t>
                  </w:r>
                  <w:r>
                    <w:rPr>
                      <w:rFonts w:hint="eastAsia" w:cs="Times New Roman" w:asciiTheme="minorEastAsia" w:hAnsiTheme="minorEastAsia"/>
                      <w:b/>
                      <w:bCs/>
                      <w:kern w:val="0"/>
                      <w:sz w:val="24"/>
                      <w:szCs w:val="24"/>
                      <w:highlight w:val="none"/>
                    </w:rPr>
                    <w:t>（%）</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现金及银行存款</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现金及活期存款</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cs="Times New Roman" w:asciiTheme="minorEastAsia" w:hAnsiTheme="minorEastAsia"/>
                      <w:kern w:val="0"/>
                      <w:sz w:val="24"/>
                      <w:szCs w:val="24"/>
                      <w:highlight w:val="none"/>
                      <w:lang w:val="en-US" w:eastAsia="zh-CN"/>
                    </w:rPr>
                    <w:t>0.87</w:t>
                  </w:r>
                </w:p>
              </w:tc>
            </w:tr>
            <w:tr>
              <w:tblPrEx>
                <w:tblLayout w:type="fixed"/>
                <w:tblCellMar>
                  <w:top w:w="0" w:type="dxa"/>
                  <w:left w:w="10" w:type="dxa"/>
                  <w:bottom w:w="0" w:type="dxa"/>
                  <w:right w:w="10" w:type="dxa"/>
                </w:tblCellMar>
              </w:tblPrEx>
              <w:trPr>
                <w:trHeight w:val="800" w:hRule="exact"/>
              </w:trPr>
              <w:tc>
                <w:tcPr>
                  <w:tcW w:w="2960" w:type="dxa"/>
                  <w:vMerge w:val="restart"/>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资产管理产品</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券商资产管理产品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53.32</w:t>
                  </w:r>
                </w:p>
              </w:tc>
            </w:tr>
            <w:tr>
              <w:tblPrEx>
                <w:tblLayout w:type="fixed"/>
                <w:tblCellMar>
                  <w:top w:w="0" w:type="dxa"/>
                  <w:left w:w="10" w:type="dxa"/>
                  <w:bottom w:w="0" w:type="dxa"/>
                  <w:right w:w="10" w:type="dxa"/>
                </w:tblCellMar>
              </w:tblPrEx>
              <w:trPr>
                <w:trHeight w:val="800" w:hRule="exact"/>
              </w:trPr>
              <w:tc>
                <w:tcPr>
                  <w:tcW w:w="2960" w:type="dxa"/>
                  <w:vMerge w:val="continue"/>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信托产品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45.81</w:t>
                  </w: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截至2022年12月31日，本产品持仓前十大资产市值合计</w:t>
            </w:r>
            <w:r>
              <w:rPr>
                <w:rFonts w:hint="eastAsia" w:ascii="宋体" w:hAnsi="宋体" w:cs="宋体"/>
                <w:color w:val="000000"/>
                <w:sz w:val="24"/>
                <w:lang w:val="en-US" w:eastAsia="zh-CN"/>
              </w:rPr>
              <w:t>540.61</w:t>
            </w:r>
            <w:r>
              <w:rPr>
                <w:rFonts w:ascii="宋体" w:hAnsi="宋体" w:eastAsia="宋体" w:cs="宋体"/>
                <w:color w:val="000000"/>
                <w:sz w:val="24"/>
              </w:rPr>
              <w:t>万元，占全部持仓资产规模合计</w:t>
            </w:r>
            <w:r>
              <w:rPr>
                <w:rFonts w:hint="eastAsia" w:ascii="宋体" w:hAnsi="宋体" w:cs="宋体"/>
                <w:color w:val="000000"/>
                <w:sz w:val="24"/>
                <w:lang w:val="en-US" w:eastAsia="zh-CN"/>
              </w:rPr>
              <w:t>58.97</w:t>
            </w:r>
            <w:r>
              <w:rPr>
                <w:rFonts w:ascii="宋体" w:hAnsi="宋体" w:eastAsia="宋体" w:cs="宋体"/>
                <w:color w:val="000000"/>
                <w:sz w:val="24"/>
              </w:rPr>
              <w:t>%。产品持仓前十大资产如下：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22湖州银行二级01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61.87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6.75%</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22汉口银行二级01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60.99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6.65%</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21河北租赁债01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60.59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6.61%</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22长沙农商行二级资本债01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59.78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6.52%</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22威海商行二级资本债01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59.54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6.49%</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21金海02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51.93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5.66%</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17宁夏银行二级01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51.38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5.60%</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20北湾银行二级01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51.25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5.59%</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21海陵03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41.72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4.55%</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20仪征02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41.55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4.53%</w:t>
                  </w: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12月31日，本产品存续份额为9,113,000.00份，持有资产总规模为9,167,961.78元，产品资产净值为9,159,132.83元，单位净值为1.0051元，累计单位净值为1.0051元。本报告期内产品单位净值上涨-0.0118元，自成立以来产品单位净值上涨0.0051元，成立至今实现年化收益率为0.5128%。</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2023年1月</w:t>
            </w:r>
            <w:r>
              <w:rPr>
                <w:rFonts w:hint="eastAsia" w:ascii="宋体" w:hAnsi="宋体" w:cs="宋体"/>
                <w:color w:val="000000"/>
                <w:sz w:val="24"/>
                <w:lang w:val="en-US" w:eastAsia="zh-CN"/>
              </w:rPr>
              <w:t>5</w:t>
            </w:r>
            <w:bookmarkStart w:id="1" w:name="_GoBack"/>
            <w:bookmarkEnd w:id="1"/>
            <w:r>
              <w:rPr>
                <w:rFonts w:ascii="宋体" w:hAnsi="宋体" w:eastAsia="宋体" w:cs="宋体"/>
                <w:color w:val="000000"/>
                <w:sz w:val="24"/>
              </w:rPr>
              <w:t>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28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useAltKinsokuLineBreakRules/>
    <w:splitPgBreakAndParaMark/>
    <w:compatSetting w:name="compatibilityMode" w:uri="http://schemas.microsoft.com/office/word" w:val="12"/>
  </w:compat>
  <w:rsids>
    <w:rsidRoot w:val="00000000"/>
    <w:rsid w:val="10004083"/>
    <w:rsid w:val="3C6F5C9D"/>
    <w:rsid w:val="78EC6F9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qFormat/>
    <w:uiPriority w:val="0"/>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2023-01-12T03:43:00Z</dcterms:created>
  <dc:creator>huawei</dc:creator>
  <cp:lastModifiedBy>郭东媛</cp:lastModifiedBy>
  <dcterms:modified xsi:type="dcterms:W3CDTF">2023-01-19T06:19:20Z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