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“承德银行承溢盈人民币理财产品第八十七期”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承德银行承溢盈人民币理财产品第八十七期（产品代码CYY0087）其关键要素如下：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C1089222000050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2022年8月10日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251天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96"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0.21</w:t>
                  </w:r>
                </w:p>
              </w:tc>
            </w:tr>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99.79</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1434.52</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74.34</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150.82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7.82%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148.67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7.70%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147.68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7.65%</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145.72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145.64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145.14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139.08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7.21%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138.11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7.16%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137.68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7.13%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135.99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7.05%</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19,535,000.00份，持有资产总规模为19,297,020.58元，产品资产净值为19,292,396.74元，单位净值为0.9876元，累计单位净值为0.9876元。本报告期内产品单位净值上涨-0.0172元，自成立以来产品单位净值上涨-0.0124元，成立至今实现年化收益率为-1.8032%。</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21E5701"/>
    <w:rsid w:val="13F5502F"/>
    <w:rsid w:val="5E6258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2023-01-11T09:01:00Z</dcterms:created>
  <dc:creator>huawei</dc:creator>
  <cp:lastModifiedBy>郭东媛</cp:lastModifiedBy>
  <dcterms:modified xsi:type="dcterms:W3CDTF">2023-01-19T06:17:21Z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