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“承德银行承溢盈人民币理财产品第四十七期”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承德银行承溢盈人民币理财产品第四十七期（产品代码CYY0047）其关键要素如下：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2022年2月23日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2023年2月7日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349天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82"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25.54</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71.52</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2.94</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4338.99</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88.4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1554.31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31.67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399.99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389.01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388.93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388.06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336.54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6.86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329.99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6.72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205.39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4.18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19远东三</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173.39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20临淄01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173.39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3.53</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48,254,000.00份，持有资产总规模为49,084,691.59元，产品资产净值为49,075,834.19元，单位净值为1.0170元，累计单位净值为1.0170元。本报告期内产品单位净值上涨-0.0026元，自成立以来产品单位净值上涨0.017元，成立至今实现年化收益率为</w:t>
            </w:r>
            <w:r>
              <w:rPr>
                <w:rFonts w:hint="eastAsia" w:ascii="宋体" w:hAnsi="宋体" w:cs="宋体"/>
                <w:color w:val="000000"/>
                <w:sz w:val="24"/>
                <w:lang w:val="en-US" w:eastAsia="zh-CN"/>
              </w:rPr>
              <w:t>2.8205</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4AC2DA5"/>
    <w:rsid w:val="15192D3E"/>
    <w:rsid w:val="5BCD1ECF"/>
    <w:rsid w:val="6D8077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2022-10-11T03:49:00Z</dcterms:created>
  <dc:creator>huawei</dc:creator>
  <cp:lastModifiedBy>郭东媛</cp:lastModifiedBy>
  <dcterms:modified xsi:type="dcterms:W3CDTF">2022-10-17T02:13:42Z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