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“承德银行承溢盈人民币理财产品第十五期”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承德银行承溢盈人民币理财产品第十五期（产品代码CYY0015）其关键要素如下：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C1089221000025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2021年10月27日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2022年10月25日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363天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111"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374" w:type="dxa"/>
              <w:jc w:val="center"/>
              <w:tblInd w:w="-2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3"/>
              <w:gridCol w:w="2366"/>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jc w:val="center"/>
              </w:trPr>
              <w:tc>
                <w:tcPr>
                  <w:tcW w:w="4163" w:type="dxa"/>
                  <w:vAlign w:val="center"/>
                </w:tcPr>
                <w:p>
                  <w:pPr>
                    <w:keepNext/>
                    <w:keepLines/>
                    <w:spacing w:line="360" w:lineRule="auto"/>
                    <w:jc w:val="center"/>
                    <w:rPr>
                      <w:rFonts w:hint="default" w:cs="Times New Roman" w:asciiTheme="minorEastAsia" w:hAnsiTheme="minorEastAsia" w:eastAsiaTheme="minorEastAsia"/>
                      <w:b/>
                      <w:bCs/>
                      <w:kern w:val="0"/>
                      <w:sz w:val="24"/>
                      <w:szCs w:val="24"/>
                      <w:highlight w:val="none"/>
                      <w:lang w:val="en-US" w:eastAsia="zh-CN"/>
                    </w:rPr>
                  </w:pPr>
                  <w:r>
                    <w:rPr>
                      <w:rFonts w:hint="eastAsia" w:cs="Times New Roman" w:asciiTheme="minorEastAsia" w:hAnsiTheme="minorEastAsia"/>
                      <w:b/>
                      <w:bCs/>
                      <w:kern w:val="0"/>
                      <w:sz w:val="24"/>
                      <w:szCs w:val="24"/>
                      <w:highlight w:val="none"/>
                      <w:lang w:val="en-US" w:eastAsia="zh-CN"/>
                    </w:rPr>
                    <w:t>资产类别</w:t>
                  </w:r>
                </w:p>
              </w:tc>
              <w:tc>
                <w:tcPr>
                  <w:tcW w:w="2366" w:type="dxa"/>
                  <w:shd w:val="clear" w:color="auto" w:fill="auto"/>
                  <w:vAlign w:val="center"/>
                </w:tcPr>
                <w:p>
                  <w:pPr>
                    <w:keepNext/>
                    <w:keepLines/>
                    <w:spacing w:line="360" w:lineRule="auto"/>
                    <w:jc w:val="center"/>
                    <w:rPr>
                      <w:rFonts w:hint="default" w:cs="Times New Roman" w:asciiTheme="minorEastAsia" w:hAnsiTheme="minorEastAsia" w:eastAsiaTheme="minorEastAsia"/>
                      <w:b/>
                      <w:bCs/>
                      <w:kern w:val="0"/>
                      <w:sz w:val="24"/>
                      <w:szCs w:val="24"/>
                      <w:highlight w:val="none"/>
                      <w:lang w:val="en-US" w:eastAsia="zh-CN"/>
                    </w:rPr>
                  </w:pPr>
                  <w:r>
                    <w:rPr>
                      <w:rFonts w:hint="eastAsia" w:cs="Times New Roman" w:asciiTheme="minorEastAsia" w:hAnsiTheme="minorEastAsia"/>
                      <w:b/>
                      <w:bCs/>
                      <w:kern w:val="0"/>
                      <w:sz w:val="24"/>
                      <w:szCs w:val="24"/>
                      <w:highlight w:val="none"/>
                      <w:lang w:val="en-US" w:eastAsia="zh-CN"/>
                    </w:rPr>
                    <w:t>具体资产</w:t>
                  </w:r>
                </w:p>
              </w:tc>
              <w:tc>
                <w:tcPr>
                  <w:tcW w:w="1845" w:type="dxa"/>
                  <w:shd w:val="clear" w:color="auto" w:fill="auto"/>
                  <w:vAlign w:val="center"/>
                </w:tcPr>
                <w:p>
                  <w:pPr>
                    <w:keepNext/>
                    <w:keepLines/>
                    <w:spacing w:line="360" w:lineRule="auto"/>
                    <w:jc w:val="center"/>
                    <w:rPr>
                      <w:rFonts w:cs="Times New Roman" w:asciiTheme="minorEastAsia" w:hAnsiTheme="minorEastAsia"/>
                      <w:b/>
                      <w:bCs/>
                      <w:kern w:val="0"/>
                      <w:sz w:val="24"/>
                      <w:szCs w:val="24"/>
                      <w:highlight w:val="none"/>
                    </w:rP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 w:hRule="atLeast"/>
                <w:jc w:val="center"/>
              </w:trPr>
              <w:tc>
                <w:tcPr>
                  <w:tcW w:w="4163" w:type="dxa"/>
                  <w:vAlign w:val="center"/>
                </w:tcPr>
                <w:p>
                  <w:pPr>
                    <w:jc w:val="center"/>
                    <w:rPr>
                      <w:rFonts w:hint="eastAsia" w:cs="Times New Roman" w:asciiTheme="minorEastAsia" w:hAnsiTheme="minorEastAsia"/>
                      <w:kern w:val="0"/>
                      <w:sz w:val="24"/>
                      <w:szCs w:val="24"/>
                      <w:highlight w:val="none"/>
                      <w:lang w:val="en-US" w:eastAsia="zh-CN"/>
                    </w:rPr>
                  </w:pPr>
                  <w:r>
                    <w:rPr>
                      <w:rFonts w:hint="eastAsia" w:cs="Times New Roman" w:asciiTheme="minorEastAsia" w:hAnsiTheme="minorEastAsia"/>
                      <w:kern w:val="0"/>
                      <w:sz w:val="24"/>
                      <w:szCs w:val="24"/>
                      <w:highlight w:val="none"/>
                      <w:lang w:val="en-US" w:eastAsia="zh-CN"/>
                    </w:rPr>
                    <w:t>现金及银行存款</w:t>
                  </w:r>
                </w:p>
              </w:tc>
              <w:tc>
                <w:tcPr>
                  <w:tcW w:w="2366" w:type="dxa"/>
                  <w:vAlign w:val="center"/>
                </w:tcPr>
                <w:p>
                  <w:pPr>
                    <w:jc w:val="center"/>
                    <w:rPr>
                      <w:rFonts w:hint="default" w:cs="Times New Roman" w:asciiTheme="minorEastAsia" w:hAnsiTheme="minorEastAsia"/>
                      <w:kern w:val="0"/>
                      <w:sz w:val="24"/>
                      <w:szCs w:val="24"/>
                      <w:highlight w:val="none"/>
                      <w:lang w:val="en-US" w:eastAsia="zh-CN"/>
                    </w:rPr>
                  </w:pPr>
                  <w:r>
                    <w:rPr>
                      <w:rFonts w:hint="eastAsia" w:cs="Times New Roman" w:asciiTheme="minorEastAsia" w:hAnsiTheme="minorEastAsia"/>
                      <w:kern w:val="0"/>
                      <w:sz w:val="24"/>
                      <w:szCs w:val="24"/>
                      <w:highlight w:val="none"/>
                      <w:lang w:val="en-US" w:eastAsia="zh-CN"/>
                    </w:rPr>
                    <w:t>现金及活期存款</w:t>
                  </w:r>
                </w:p>
              </w:tc>
              <w:tc>
                <w:tcPr>
                  <w:tcW w:w="184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 w:hRule="atLeast"/>
                <w:jc w:val="center"/>
              </w:trPr>
              <w:tc>
                <w:tcPr>
                  <w:tcW w:w="4163" w:type="dxa"/>
                  <w:vAlign w:val="center"/>
                </w:tcPr>
                <w:p>
                  <w:pPr>
                    <w:jc w:val="center"/>
                    <w:rPr>
                      <w:rFonts w:hint="eastAsia" w:cs="Times New Roman" w:asciiTheme="minorEastAsia" w:hAnsiTheme="minorEastAsia"/>
                      <w:kern w:val="0"/>
                      <w:sz w:val="24"/>
                      <w:szCs w:val="24"/>
                      <w:highlight w:val="none"/>
                      <w:lang w:val="en-US" w:eastAsia="zh-CN"/>
                    </w:rPr>
                  </w:pPr>
                  <w:r>
                    <w:rPr>
                      <w:rFonts w:hint="eastAsia" w:cs="Times New Roman" w:asciiTheme="minorEastAsia" w:hAnsiTheme="minorEastAsia"/>
                      <w:kern w:val="0"/>
                      <w:sz w:val="24"/>
                      <w:szCs w:val="24"/>
                      <w:highlight w:val="none"/>
                      <w:lang w:val="en-US" w:eastAsia="zh-CN"/>
                    </w:rPr>
                    <w:t>资产管理产品</w:t>
                  </w:r>
                </w:p>
              </w:tc>
              <w:tc>
                <w:tcPr>
                  <w:tcW w:w="2366" w:type="dxa"/>
                  <w:vAlign w:val="center"/>
                </w:tcPr>
                <w:p>
                  <w:pPr>
                    <w:jc w:val="center"/>
                    <w:rPr>
                      <w:rFonts w:hint="eastAsia" w:cs="Times New Roman" w:asciiTheme="minorEastAsia" w:hAnsiTheme="minorEastAsia"/>
                      <w:kern w:val="0"/>
                      <w:sz w:val="24"/>
                      <w:szCs w:val="24"/>
                      <w:highlight w:val="none"/>
                      <w:lang w:val="en-US" w:eastAsia="zh-CN"/>
                    </w:rPr>
                  </w:pPr>
                  <w:r>
                    <w:rPr>
                      <w:rFonts w:hint="eastAsia" w:cs="Times New Roman" w:asciiTheme="minorEastAsia" w:hAnsiTheme="minorEastAsia"/>
                      <w:kern w:val="0"/>
                      <w:sz w:val="24"/>
                      <w:szCs w:val="24"/>
                      <w:highlight w:val="none"/>
                      <w:lang w:val="en-US" w:eastAsia="zh-CN"/>
                    </w:rPr>
                    <w:t>券商资产管理产品</w:t>
                  </w:r>
                </w:p>
              </w:tc>
              <w:tc>
                <w:tcPr>
                  <w:tcW w:w="184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93.61</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截至2022年9月30日，本产品持仓前十大资产市值合计3</w:t>
            </w:r>
            <w:r>
              <w:rPr>
                <w:rFonts w:hint="eastAsia" w:ascii="宋体" w:hAnsi="宋体" w:cs="宋体"/>
                <w:color w:val="000000"/>
                <w:sz w:val="24"/>
                <w:lang w:val="en-US" w:eastAsia="zh-CN"/>
              </w:rPr>
              <w:t>033.04</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76.55</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jc w:val="center"/>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0"/>
                      <w:szCs w:val="20"/>
                      <w:u w:val="none"/>
                      <w:lang w:val="en-US" w:eastAsia="zh-CN" w:bidi="ar"/>
                    </w:rPr>
                    <w:t xml:space="preserve">371.50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2"/>
                      <w:szCs w:val="22"/>
                      <w:u w:val="none"/>
                      <w:lang w:val="en-US" w:eastAsia="zh-CN" w:bidi="ar"/>
                    </w:rPr>
                    <w:t>9.38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2"/>
                      <w:szCs w:val="22"/>
                      <w:u w:val="none"/>
                      <w:lang w:val="en-US" w:eastAsia="zh-CN" w:bidi="ar"/>
                    </w:rPr>
                    <w:t xml:space="preserve">335.35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2"/>
                      <w:szCs w:val="22"/>
                      <w:u w:val="none"/>
                      <w:lang w:val="en-US" w:eastAsia="zh-CN" w:bidi="ar"/>
                    </w:rPr>
                    <w:t>8.46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2"/>
                      <w:szCs w:val="22"/>
                      <w:u w:val="none"/>
                      <w:lang w:val="en-US" w:eastAsia="zh-CN" w:bidi="ar"/>
                    </w:rPr>
                    <w:t xml:space="preserve">326.14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2"/>
                      <w:szCs w:val="22"/>
                      <w:u w:val="none"/>
                      <w:lang w:val="en-US" w:eastAsia="zh-CN" w:bidi="ar"/>
                    </w:rPr>
                    <w:t>8.23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2"/>
                      <w:szCs w:val="22"/>
                      <w:u w:val="none"/>
                      <w:lang w:val="en-US" w:eastAsia="zh-CN" w:bidi="ar"/>
                    </w:rPr>
                    <w:t xml:space="preserve">326.08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2"/>
                      <w:szCs w:val="22"/>
                      <w:u w:val="none"/>
                      <w:lang w:val="en-US" w:eastAsia="zh-CN" w:bidi="ar"/>
                    </w:rPr>
                    <w:t>8.23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2"/>
                      <w:szCs w:val="22"/>
                      <w:u w:val="none"/>
                      <w:lang w:val="en-US" w:eastAsia="zh-CN" w:bidi="ar"/>
                    </w:rPr>
                    <w:t xml:space="preserve">325.34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2"/>
                      <w:szCs w:val="22"/>
                      <w:u w:val="none"/>
                      <w:lang w:val="en-US" w:eastAsia="zh-CN" w:bidi="ar"/>
                    </w:rPr>
                    <w:t>8.21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2"/>
                      <w:szCs w:val="22"/>
                      <w:u w:val="none"/>
                      <w:lang w:val="en-US" w:eastAsia="zh-CN" w:bidi="ar"/>
                    </w:rPr>
                    <w:t xml:space="preserve">282.15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2"/>
                      <w:szCs w:val="22"/>
                      <w:u w:val="none"/>
                      <w:lang w:val="en-US" w:eastAsia="zh-CN" w:bidi="ar"/>
                    </w:rPr>
                    <w:t>7.12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2"/>
                      <w:szCs w:val="22"/>
                      <w:u w:val="none"/>
                      <w:lang w:val="en-US" w:eastAsia="zh-CN" w:bidi="ar"/>
                    </w:rPr>
                    <w:t xml:space="preserve">276.66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2"/>
                      <w:szCs w:val="22"/>
                      <w:u w:val="none"/>
                      <w:lang w:val="en-US" w:eastAsia="zh-CN" w:bidi="ar"/>
                    </w:rPr>
                    <w:t>6.98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0"/>
                      <w:szCs w:val="20"/>
                      <w:u w:val="none"/>
                      <w:lang w:val="en-US" w:eastAsia="zh-CN" w:bidi="ar"/>
                    </w:rPr>
                    <w:t xml:space="preserve">272.38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2"/>
                      <w:szCs w:val="22"/>
                      <w:u w:val="none"/>
                      <w:lang w:val="en-US" w:eastAsia="zh-CN" w:bidi="ar"/>
                    </w:rPr>
                    <w:t>6.88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0"/>
                      <w:szCs w:val="20"/>
                      <w:u w:val="none"/>
                      <w:lang w:val="en-US" w:eastAsia="zh-CN" w:bidi="ar"/>
                    </w:rPr>
                    <w:t xml:space="preserve">259.06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2"/>
                      <w:szCs w:val="22"/>
                      <w:u w:val="none"/>
                      <w:lang w:val="en-US" w:eastAsia="zh-CN" w:bidi="ar"/>
                    </w:rPr>
                    <w:t>6.54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0"/>
                      <w:szCs w:val="20"/>
                      <w:u w:val="none"/>
                      <w:lang w:val="en-US" w:eastAsia="zh-CN" w:bidi="ar"/>
                    </w:rPr>
                    <w:t xml:space="preserve">258.37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22"/>
                      <w:szCs w:val="22"/>
                      <w:u w:val="none"/>
                      <w:lang w:val="en-US" w:eastAsia="zh-CN" w:bidi="ar"/>
                    </w:rPr>
                    <w:t>6.52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38,158,000.00份，持有资产总规模为39,618,352.83元，产品资产净值为39,591,920.40元，单位净值为1.0376元，累计单位净值为1.0376元。本报告期内产品单位净值上涨0.033元，自成立以来产品单位净值上涨0.0376元，成立至今实现年化收益率为</w:t>
            </w:r>
            <w:r>
              <w:rPr>
                <w:rFonts w:hint="eastAsia" w:ascii="宋体" w:hAnsi="宋体" w:cs="宋体"/>
                <w:color w:val="000000"/>
                <w:sz w:val="24"/>
                <w:lang w:val="en-US" w:eastAsia="zh-CN"/>
              </w:rPr>
              <w:t>4.0484</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5100A86"/>
    <w:rsid w:val="0D8B42EA"/>
    <w:rsid w:val="16943BA4"/>
    <w:rsid w:val="1CF947D8"/>
    <w:rsid w:val="4F9177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2022-10-11T03:28:00Z</dcterms:created>
  <dc:creator>huawei</dc:creator>
  <cp:lastModifiedBy>郭东媛</cp:lastModifiedBy>
  <dcterms:modified xsi:type="dcterms:W3CDTF">2022-10-17T02:04:38Z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