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承德银行承溢盈人民币理财产品第九十三期（产品代码CYY0093）其关键要素如下：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195天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5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569.77</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78.87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60.03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58.48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57.09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56.94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56.88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56.86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56.74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56.71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55.59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54.45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7,220,000.00份，持有资产总规模为7,223,655.65元，产品资产净值为7,223,370.77元，单位净值为1.0005元，累计单位净值为1.0005元。本报告期内产品单位净值上涨0.0005元，自成立以来产品单位净值上涨0.0005元，成立至今实现年化收益率为</w:t>
            </w:r>
            <w:r>
              <w:rPr>
                <w:rFonts w:hint="eastAsia" w:ascii="宋体" w:hAnsi="宋体" w:cs="宋体"/>
                <w:color w:val="000000"/>
                <w:sz w:val="24"/>
                <w:lang w:val="en-US" w:eastAsia="zh-CN"/>
              </w:rPr>
              <w:t>0.7604</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C885163"/>
    <w:rsid w:val="1B863742"/>
    <w:rsid w:val="1F775913"/>
    <w:rsid w:val="7CFA37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2022-10-11T06:45:00Z</dcterms:created>
  <dc:creator>huawei</dc:creator>
  <cp:lastModifiedBy>郭东媛</cp:lastModifiedBy>
  <dcterms:modified xsi:type="dcterms:W3CDTF">2022-10-17T02:48:06Z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