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9082" w:type="dxa"/>
        <w:tblInd w:w="0" w:type="dxa"/>
        <w:tblLayout w:type="fixed"/>
        <w:tblCellMar>
          <w:top w:w="0" w:type="dxa"/>
          <w:left w:w="10" w:type="dxa"/>
          <w:bottom w:w="0" w:type="dxa"/>
          <w:right w:w="10" w:type="dxa"/>
        </w:tblCellMar>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blPrEx>
          <w:tblLayout w:type="fixed"/>
          <w:tblCellMar>
            <w:top w:w="0" w:type="dxa"/>
            <w:left w:w="10" w:type="dxa"/>
            <w:bottom w:w="0" w:type="dxa"/>
            <w:right w:w="10" w:type="dxa"/>
          </w:tblCellMar>
        </w:tblPrEx>
        <w:trPr>
          <w:trHeight w:val="0" w:hRule="atLeast"/>
        </w:trPr>
        <w:tc>
          <w:tcPr>
            <w:tcW w:w="1" w:type="dxa"/>
          </w:tcPr>
          <w:p>
            <w:pPr>
              <w:pStyle w:val="4"/>
            </w:pPr>
            <w:bookmarkStart w:id="0" w:name="JR_PAGE_ANCHOR_0_1"/>
            <w:bookmarkEnd w:id="0"/>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“承德银行承溢盈人民币理财产品第三十七期”</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2022年第三季度运作情况报告</w:t>
            </w: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一、产品情况介绍</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 xml:space="preserve">       （一）产品要素</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6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承德银行承溢盈人民币理财产品第三十七期（产品代码CYY0037）其关键要素如下：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中债产品登记编码</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360" w:lineRule="auto"/>
              <w:ind w:left="300"/>
              <w:jc w:val="left"/>
            </w:pPr>
            <w:r>
              <w:rPr>
                <w:rFonts w:ascii="宋体" w:hAnsi="宋体" w:eastAsia="宋体" w:cs="宋体"/>
                <w:color w:val="000000"/>
                <w:sz w:val="24"/>
              </w:rPr>
              <w:t>C1089221000047</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起息日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2022年1月5日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到期日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2023年1月12日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产品期限</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372天</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产品投资类型</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固定收益类</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业绩比较基准</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4.25%</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产品管理人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承德银行股份有限公司</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产品托管人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宁波银行北京分行</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r>
              <w:rPr>
                <w:rFonts w:ascii="宋体" w:hAnsi="宋体" w:eastAsia="宋体" w:cs="宋体"/>
                <w:color w:val="000000"/>
                <w:sz w:val="24"/>
              </w:rPr>
              <w:t>二、产品持仓状况</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8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pPr>
              <w:spacing w:before="0" w:after="0" w:line="3600" w:lineRule="auto"/>
              <w:jc w:val="left"/>
            </w:pPr>
            <w:r>
              <w:rPr>
                <w:rFonts w:ascii="宋体" w:hAnsi="宋体" w:eastAsia="宋体" w:cs="宋体"/>
                <w:color w:val="000000"/>
                <w:sz w:val="24"/>
              </w:rPr>
              <w:t xml:space="preserve">       截至2022年9月30日，本产品投资的持仓资产结构如下：</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208"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8400" w:type="dxa"/>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400" w:type="dxa"/>
              <w:tblInd w:w="0" w:type="dxa"/>
              <w:tblLayout w:type="fixed"/>
              <w:tblCellMar>
                <w:top w:w="0" w:type="dxa"/>
                <w:left w:w="10" w:type="dxa"/>
                <w:bottom w:w="0" w:type="dxa"/>
                <w:right w:w="10" w:type="dxa"/>
              </w:tblCellMar>
            </w:tblPr>
            <w:tblGrid>
              <w:gridCol w:w="2960"/>
              <w:gridCol w:w="2960"/>
              <w:gridCol w:w="2480"/>
            </w:tblGrid>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keepLines/>
                    <w:spacing w:line="360" w:lineRule="auto"/>
                    <w:jc w:val="center"/>
                  </w:pPr>
                  <w:r>
                    <w:rPr>
                      <w:rFonts w:hint="eastAsia" w:cs="Times New Roman" w:asciiTheme="minorEastAsia" w:hAnsiTheme="minorEastAsia"/>
                      <w:b/>
                      <w:bCs/>
                      <w:kern w:val="0"/>
                      <w:sz w:val="24"/>
                      <w:szCs w:val="24"/>
                      <w:highlight w:val="none"/>
                      <w:lang w:val="en-US" w:eastAsia="zh-CN"/>
                    </w:rPr>
                    <w:t>资产类别</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20" w:type="dxa"/>
                  </w:tcMar>
                  <w:vAlign w:val="center"/>
                </w:tcPr>
                <w:p>
                  <w:pPr>
                    <w:keepNext/>
                    <w:keepLines/>
                    <w:spacing w:line="360" w:lineRule="auto"/>
                    <w:jc w:val="center"/>
                  </w:pPr>
                  <w:r>
                    <w:rPr>
                      <w:rFonts w:hint="eastAsia" w:cs="Times New Roman" w:asciiTheme="minorEastAsia" w:hAnsiTheme="minorEastAsia"/>
                      <w:b/>
                      <w:bCs/>
                      <w:kern w:val="0"/>
                      <w:sz w:val="24"/>
                      <w:szCs w:val="24"/>
                      <w:highlight w:val="none"/>
                      <w:lang w:val="en-US" w:eastAsia="zh-CN"/>
                    </w:rPr>
                    <w:t>具体资产</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keepLines/>
                    <w:spacing w:line="360" w:lineRule="auto"/>
                    <w:jc w:val="center"/>
                  </w:pPr>
                  <w:r>
                    <w:rPr>
                      <w:rFonts w:cs="Times New Roman" w:asciiTheme="minorEastAsia" w:hAnsiTheme="minorEastAsia"/>
                      <w:b/>
                      <w:bCs/>
                      <w:kern w:val="0"/>
                      <w:sz w:val="24"/>
                      <w:szCs w:val="24"/>
                      <w:highlight w:val="none"/>
                    </w:rPr>
                    <w:t>占比</w:t>
                  </w:r>
                  <w:r>
                    <w:rPr>
                      <w:rFonts w:hint="eastAsia" w:cs="Times New Roman" w:asciiTheme="minorEastAsia" w:hAnsiTheme="minorEastAsia"/>
                      <w:b/>
                      <w:bCs/>
                      <w:kern w:val="0"/>
                      <w:sz w:val="24"/>
                      <w:szCs w:val="24"/>
                      <w:highlight w:val="none"/>
                    </w:rPr>
                    <w:t>（%）</w:t>
                  </w: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现金及银行存款</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现金及活期存款</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cs="Times New Roman" w:asciiTheme="minorEastAsia" w:hAnsiTheme="minorEastAsia"/>
                      <w:kern w:val="0"/>
                      <w:sz w:val="24"/>
                      <w:szCs w:val="24"/>
                      <w:highlight w:val="none"/>
                      <w:lang w:val="en-US" w:eastAsia="zh-CN"/>
                    </w:rPr>
                    <w:t>0.05</w:t>
                  </w: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资产管理产品</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券商资产管理产品</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91.65</w:t>
                  </w: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非标准化债权类资产</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收益凭证</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8.3</w:t>
                  </w:r>
                </w:p>
              </w:tc>
            </w:tr>
          </w:tbl>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三、产品持仓十大资产</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截至2022年9月30日，本产品持仓前十大资产市值合计</w:t>
            </w:r>
            <w:r>
              <w:rPr>
                <w:rFonts w:hint="eastAsia" w:ascii="宋体" w:hAnsi="宋体" w:cs="宋体"/>
                <w:color w:val="000000"/>
                <w:sz w:val="24"/>
                <w:lang w:val="en-US" w:eastAsia="zh-CN"/>
              </w:rPr>
              <w:t>1244.44</w:t>
            </w:r>
            <w:r>
              <w:rPr>
                <w:rFonts w:ascii="宋体" w:hAnsi="宋体" w:eastAsia="宋体" w:cs="宋体"/>
                <w:color w:val="000000"/>
                <w:sz w:val="24"/>
              </w:rPr>
              <w:t>万元，占全部持仓资产规模合计</w:t>
            </w:r>
            <w:r>
              <w:rPr>
                <w:rFonts w:hint="eastAsia" w:ascii="宋体" w:hAnsi="宋体" w:cs="宋体"/>
                <w:color w:val="000000"/>
                <w:sz w:val="24"/>
                <w:lang w:val="en-US" w:eastAsia="zh-CN"/>
              </w:rPr>
              <w:t>59.91</w:t>
            </w:r>
            <w:r>
              <w:rPr>
                <w:rFonts w:ascii="宋体" w:hAnsi="宋体" w:eastAsia="宋体" w:cs="宋体"/>
                <w:color w:val="000000"/>
                <w:sz w:val="24"/>
              </w:rPr>
              <w:t>%。产品持仓前十大资产如下：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600" w:type="dxa"/>
            <w:gridSpan w:val="7"/>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600" w:type="dxa"/>
              <w:tblInd w:w="0" w:type="dxa"/>
              <w:tblLayout w:type="fixed"/>
              <w:tblCellMar>
                <w:top w:w="0" w:type="dxa"/>
                <w:left w:w="10" w:type="dxa"/>
                <w:bottom w:w="0" w:type="dxa"/>
                <w:right w:w="10" w:type="dxa"/>
              </w:tblCellMar>
            </w:tblPr>
            <w:tblGrid>
              <w:gridCol w:w="3400"/>
              <w:gridCol w:w="2600"/>
              <w:gridCol w:w="2600"/>
            </w:tblGrid>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b/>
                            <w:color w:val="000000"/>
                            <w:sz w:val="24"/>
                          </w:rPr>
                          <w:t>资产名称</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持仓市值（万元）</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收益凭证</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172.46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8.30</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22汉口银行二级01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128.96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6.21</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21河北租赁债01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124.73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6.01</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21吉盐01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123.02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5.92</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21黔铁01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122.41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5.89</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20创投02</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120.84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5.82</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22铁建Y4</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119.12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5.74</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PR洋口01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116.69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5.62</w:t>
                  </w:r>
                </w:p>
              </w:tc>
            </w:tr>
            <w:tr>
              <w:tblPrEx>
                <w:tblLayout w:type="fixed"/>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21环球Y1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108.45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5.22</w:t>
                  </w:r>
                </w:p>
              </w:tc>
            </w:tr>
            <w:tr>
              <w:tblPrEx>
                <w:tblLayout w:type="fixed"/>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S19万州1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107.77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5.19</w:t>
                  </w:r>
                </w:p>
              </w:tc>
            </w:tr>
          </w:tbl>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四、理财产品业绩表现</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9020" w:type="dxa"/>
            <w:gridSpan w:val="17"/>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2022年9月30日，本产品存续份额为20,346,000.00份，持有资产总规模为20,769,846.84元，产品资产净值为20,745,857.42元，单位净值为1.0197元，累计单位净值为1.0197元。本报告期内产品单位净值上涨0.0031元，自成立以来产品单位净值上涨0.0197元，成立至今实现年化收益率为</w:t>
            </w:r>
            <w:r>
              <w:rPr>
                <w:rFonts w:hint="eastAsia" w:ascii="宋体" w:hAnsi="宋体" w:cs="宋体"/>
                <w:color w:val="000000"/>
                <w:sz w:val="24"/>
                <w:lang w:val="en-US" w:eastAsia="zh-CN"/>
              </w:rPr>
              <w:t>2.673</w:t>
            </w:r>
            <w:bookmarkStart w:id="1" w:name="_GoBack"/>
            <w:bookmarkEnd w:id="1"/>
            <w:r>
              <w:rPr>
                <w:rFonts w:ascii="宋体" w:hAnsi="宋体" w:eastAsia="宋体" w:cs="宋体"/>
                <w:color w:val="000000"/>
                <w:sz w:val="24"/>
              </w:rPr>
              <w:t>%。</w:t>
            </w:r>
          </w:p>
        </w:tc>
        <w:tc>
          <w:tcPr>
            <w:tcW w:w="1" w:type="dxa"/>
          </w:tcPr>
          <w:p>
            <w:pPr>
              <w:pStyle w:val="4"/>
            </w:pPr>
          </w:p>
        </w:tc>
      </w:tr>
      <w:tr>
        <w:tblPrEx>
          <w:tblLayout w:type="fixed"/>
          <w:tblCellMar>
            <w:top w:w="0" w:type="dxa"/>
            <w:left w:w="10" w:type="dxa"/>
            <w:bottom w:w="0" w:type="dxa"/>
            <w:right w:w="10" w:type="dxa"/>
          </w:tblCellMar>
        </w:tblPrEx>
        <w:trPr>
          <w:trHeight w:val="6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五、产品组合流动性风险分析</w:t>
            </w: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94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六、本报告期主要操作回顾</w:t>
            </w: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8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5380" w:type="dxa"/>
            <w:gridSpan w:val="5"/>
            <w:tcMar>
              <w:top w:w="0" w:type="dxa"/>
              <w:left w:w="0" w:type="dxa"/>
              <w:bottom w:w="0" w:type="dxa"/>
              <w:right w:w="0" w:type="dxa"/>
            </w:tcMar>
            <w:vAlign w:val="center"/>
          </w:tcPr>
          <w:p>
            <w:pPr>
              <w:jc w:val="right"/>
            </w:pPr>
            <w:r>
              <w:rPr>
                <w:rFonts w:ascii="宋体" w:hAnsi="宋体" w:eastAsia="宋体" w:cs="宋体"/>
                <w:color w:val="000000"/>
                <w:sz w:val="24"/>
              </w:rPr>
              <w:t>承德银行股份有限公司</w:t>
            </w: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400" w:type="dxa"/>
            <w:gridSpan w:val="8"/>
            <w:tcMar>
              <w:top w:w="0" w:type="dxa"/>
              <w:left w:w="0" w:type="dxa"/>
              <w:bottom w:w="0" w:type="dxa"/>
              <w:right w:w="0" w:type="dxa"/>
            </w:tcMar>
            <w:vAlign w:val="top"/>
          </w:tcPr>
          <w:p>
            <w:pPr>
              <w:jc w:val="right"/>
            </w:pPr>
            <w:r>
              <w:rPr>
                <w:rFonts w:ascii="宋体" w:hAnsi="宋体" w:eastAsia="宋体" w:cs="宋体"/>
                <w:color w:val="000000"/>
                <w:sz w:val="24"/>
              </w:rPr>
              <w:t>2022年10月8日</w:t>
            </w: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b/>
                <w:color w:val="000000"/>
                <w:sz w:val="24"/>
              </w:rPr>
              <w:t xml:space="preserve"> 免责声明</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88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本报告内容仅供报告阅读者参考，一切商业决策均将由报告阅读者综合各方信息后自行作出，对于本报告所提供的信息导致的任何直接或间接的后果，管理人承德银行股份股份有限公司不承担任何责任。</w:t>
            </w:r>
            <w:r>
              <w:rPr>
                <w:rFonts w:ascii="宋体" w:hAnsi="宋体" w:eastAsia="宋体" w:cs="宋体"/>
                <w:color w:val="000000"/>
                <w:sz w:val="24"/>
              </w:rPr>
              <w:br w:type="textWrapping"/>
            </w:r>
            <w:r>
              <w:rPr>
                <w:rFonts w:ascii="宋体" w:hAnsi="宋体" w:eastAsia="宋体" w:cs="宋体"/>
                <w:color w:val="000000"/>
                <w:sz w:val="24"/>
              </w:rP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股份有限公司，且不得对本报告进行有悖原意的引用、删节和修改。</w:t>
            </w:r>
            <w:r>
              <w:rPr>
                <w:rFonts w:ascii="宋体" w:hAnsi="宋体" w:eastAsia="宋体" w:cs="宋体"/>
                <w:color w:val="000000"/>
                <w:sz w:val="24"/>
              </w:rPr>
              <w:br w:type="textWrapping"/>
            </w:r>
            <w:r>
              <w:rPr>
                <w:rFonts w:ascii="宋体" w:hAnsi="宋体" w:eastAsia="宋体" w:cs="宋体"/>
                <w:color w:val="000000"/>
                <w:sz w:val="24"/>
              </w:rPr>
              <w:t xml:space="preserve">    管理人承德银行股份股份有限公司对于本免责声明条款具有修改和最终解释权。</w:t>
            </w:r>
          </w:p>
        </w:tc>
        <w:tc>
          <w:tcPr>
            <w:tcW w:w="20" w:type="dxa"/>
          </w:tcPr>
          <w:p>
            <w:pPr>
              <w:pStyle w:val="4"/>
            </w:pPr>
          </w:p>
        </w:tc>
        <w:tc>
          <w:tcPr>
            <w:tcW w:w="40" w:type="dxa"/>
          </w:tcPr>
          <w:p>
            <w:pPr>
              <w:pStyle w:val="4"/>
            </w:pPr>
          </w:p>
        </w:tc>
        <w:tc>
          <w:tcPr>
            <w:tcW w:w="1" w:type="dxa"/>
          </w:tcPr>
          <w:p>
            <w:pPr>
              <w:pStyle w:val="4"/>
            </w:pPr>
          </w:p>
        </w:tc>
      </w:tr>
    </w:tbl>
    <w:p/>
    <w:sectPr>
      <w:pgSz w:w="11900" w:h="43660"/>
      <w:pgMar w:top="220" w:right="1400" w:bottom="1080" w:left="1420" w:header="0" w:footer="0" w:gutter="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5"/>
  <w:bordersDoNotSurroundHeader w:val="0"/>
  <w:bordersDoNotSurroundFooter w:val="0"/>
  <w:documentProtection w:enforcement="0"/>
  <w:defaultTabStop w:val="800"/>
  <w:displayHorizontalDrawingGridEvery w:val="1"/>
  <w:displayVerticalDrawingGridEvery w:val="1"/>
  <w:noPunctuationKerning w:val="1"/>
  <w:compat>
    <w:doNotExpandShiftReturn/>
    <w:doNotWrapTextWithPunct/>
    <w:doNotUseEastAsianBreakRules/>
    <w:useFELayout/>
    <w:doNotUseIndentAsNumberingTabStop/>
    <w:useAltKinsokuLineBreakRules/>
    <w:splitPgBreakAndParaMark/>
    <w:compatSetting w:name="compatibilityMode" w:uri="http://schemas.microsoft.com/office/word" w:val="12"/>
  </w:compat>
  <w:rsids>
    <w:rsidRoot w:val="00000000"/>
    <w:rsid w:val="1A1B146A"/>
    <w:rsid w:val="334A78C9"/>
    <w:rsid w:val="4BA7128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sz w:val="21"/>
      <w:szCs w:val="22"/>
    </w:rPr>
  </w:style>
  <w:style w:type="character" w:default="1" w:styleId="3">
    <w:name w:val="Default Paragraph Font"/>
    <w:semiHidden/>
    <w:uiPriority w:val="0"/>
  </w:style>
  <w:style w:type="table" w:default="1" w:styleId="2">
    <w:name w:val="Normal Table"/>
    <w:semiHidden/>
    <w:unhideWhenUsed/>
    <w:qFormat/>
    <w:uiPriority w:val="99"/>
    <w:tblPr>
      <w:tblLayout w:type="fixed"/>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Office_11.8.2.8276_F1E327BC-269C-435d-A152-05C5408002CA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2022-10-11T03:41:00Z</dcterms:created>
  <dc:creator>huawei</dc:creator>
  <cp:lastModifiedBy>郭东媛</cp:lastModifiedBy>
  <dcterms:modified xsi:type="dcterms:W3CDTF">2022-10-14T06:46:22Z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2052-11.8.2.8276</vt:lpwstr>
  </property>
</Properties>
</file>