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</w:t>
      </w:r>
      <w:r>
        <w:rPr>
          <w:rFonts w:hint="eastAsia" w:ascii="黑体" w:hAnsi="黑体" w:eastAsia="黑体" w:cs="黑体"/>
          <w:sz w:val="32"/>
          <w:szCs w:val="21"/>
          <w:highlight w:val="none"/>
          <w:lang w:val="en-US" w:eastAsia="zh-CN"/>
        </w:rPr>
        <w:t>四十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四十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C1089222000003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2022年1月18日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2022年7月26日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189天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3.9%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99.92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1329.35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73.37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426.09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23.52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19颍上债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140.47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19二商Y1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103.79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19夷陵大保护绿色NPB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96.18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19长湖债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94.40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20西安陆港MTN001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94.04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21新开01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93.88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22盈地D1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93.75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20唐租Y1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93.66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21新惠02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93.10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5.14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18045000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份，持有资产总规模为18119326.58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，产品资产净值为18118219.18元，单位净值为1.00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10.6893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C6B3AD9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2022-02-10T07:08:21Z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