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九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九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C1089222000002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2022年1月12日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2022年11月15日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307天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4.1%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33.60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2055.07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77.55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246.14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243.42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238.19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237.08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236.29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233.85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65.80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2.48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26383000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份，持有资产总规模为26500633.33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，产品资产净值为26498320.33元，单位净值为1.00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8.03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2F5C6D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2022-02-10T07:03:44Z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