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黑体" w:hAnsi="宋体" w:eastAsia="黑体"/>
          <w:sz w:val="28"/>
          <w:szCs w:val="28"/>
        </w:rPr>
      </w:pPr>
      <w:bookmarkStart w:id="0" w:name="_GoBack"/>
      <w:r>
        <w:rPr>
          <w:rFonts w:hint="eastAsia" w:ascii="黑体" w:hAnsi="宋体" w:eastAsia="黑体"/>
          <w:sz w:val="28"/>
          <w:szCs w:val="28"/>
        </w:rPr>
        <w:t>承德银行人民币理财产品投资者权益须知</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尊敬的个人投资者：</w:t>
      </w:r>
    </w:p>
    <w:p>
      <w:pPr>
        <w:spacing w:line="440" w:lineRule="exact"/>
        <w:rPr>
          <w:rFonts w:asciiTheme="minorEastAsia" w:hAnsiTheme="minorEastAsia" w:eastAsiaTheme="minorEastAsia"/>
          <w:szCs w:val="21"/>
        </w:rPr>
      </w:pPr>
      <w:r>
        <w:rPr>
          <w:rFonts w:hint="eastAsia" w:asciiTheme="minorEastAsia" w:hAnsiTheme="minorEastAsia" w:eastAsiaTheme="minorEastAsia"/>
          <w:b/>
          <w:color w:val="FF0000"/>
          <w:szCs w:val="21"/>
        </w:rPr>
        <w:t>理财非存款，产品有风险，投资须谨慎。</w:t>
      </w:r>
      <w:r>
        <w:rPr>
          <w:rFonts w:hint="eastAsia" w:asciiTheme="minorEastAsia" w:hAnsiTheme="minorEastAsia" w:eastAsiaTheme="minorEastAsia"/>
          <w:szCs w:val="21"/>
        </w:rPr>
        <w:t>根据中国银行保险监督管理委员会（以下简称中国银保监会）相关监管规定的要求，在选择购买理财产品前，请认真完成个人风险承受能力评估，了解本人的投资目标、风险偏好和产品需求，仔细阅读本产品对应的产品说明书、风险揭示书、投资者权益须知等理财销售文件，选择购买与本人自身风险承受能力匹配的产品。在阅读时如对产品销售文件或购买流程等有不明之处，请及时向承德银行股份有限公司（以下简称承德银行）各销售机构相关人员进行咨询。在购买理财产品后，请关注理财产品的信息披露情况，及时获取相关信息；如对理财产品有任何意见或建议，请关注产品管理人相关联络方式并予以反馈。</w:t>
      </w:r>
    </w:p>
    <w:p>
      <w:pPr>
        <w:spacing w:line="40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一、投资者办理理财产品的流程</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1.开立或持有承德银行个人结算账户，该账户用于本产品的理财资金划转及兑付，您应该确保持有本产品期间该账户不做销户；</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2.接受并完成承德银行对您的风险承受能力评估，并根据风险评估结果选择合适的产品；</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3.请仔细阅读《产品协议书》、《产品说明书》、《风险揭示书》、《投资者权益须知》等销售文件，确认已同意相关内容，充分了解相关风险并无疑问和异议后，签署相关销售文件，并办理购买手续。</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产品可以通过承德银行营业网点、智能柜台、手机银行等渠道（具体详见产品说明书）进行购买。在营业网点柜面购买，需要您携带本人有效身份证件、借记卡或存折，销售过程需要全程录音录像。在智能柜台、手机银行等渠道购买，在购买过程中应自主选择理财产品，请勿受他人诱导或干扰。</w:t>
      </w:r>
    </w:p>
    <w:p>
      <w:pPr>
        <w:spacing w:line="400" w:lineRule="exact"/>
        <w:rPr>
          <w:rFonts w:asciiTheme="minorEastAsia" w:hAnsiTheme="minorEastAsia" w:eastAsiaTheme="minorEastAsia"/>
          <w:b/>
          <w:szCs w:val="21"/>
        </w:rPr>
      </w:pPr>
      <w:r>
        <w:rPr>
          <w:rFonts w:hint="eastAsia" w:asciiTheme="minorEastAsia" w:hAnsiTheme="minorEastAsia" w:eastAsiaTheme="minorEastAsia"/>
          <w:b/>
          <w:szCs w:val="21"/>
        </w:rPr>
        <w:t xml:space="preserve"> 二、个人投资者风险承受能力评估流程、评级具体含义以及适合购买的理财产品</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 （一）个人投资者风险承受能力评估流程</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    1.个人投资者首次购买理财产品前须进行风险承受能力评估，该评估结果有效期一年，并将作为评价您是否适合购买理财产品的重要因素。如影响您风险承受能力的因素发生变化，请您及时完成风险承受能力评估。</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    2.个人投资者超过一年未进行风险承受能力评估，再次购买理财产品须在承德银行各营业网点或者适用的电子渠道完成风险承受能力评估。</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rPr>
        <w:t>依据</w:t>
      </w:r>
      <w:r>
        <w:t>投资者年龄、财务状况、投资经验、投资目的、收益预期、风险偏好、流动性要求、风险认识以及风险损失承受程度</w:t>
      </w:r>
      <w:r>
        <w:rPr>
          <w:rFonts w:hint="eastAsia"/>
        </w:rPr>
        <w:t>等，投资者风险承受能力评级结果由低到高分为五级，</w:t>
      </w:r>
      <w:r>
        <w:rPr>
          <w:rFonts w:hint="eastAsia" w:asciiTheme="minorEastAsia" w:hAnsiTheme="minorEastAsia" w:eastAsiaTheme="minorEastAsia"/>
          <w:szCs w:val="21"/>
        </w:rPr>
        <w:t>即</w:t>
      </w:r>
      <w:r>
        <w:rPr>
          <w:rFonts w:hint="eastAsia" w:asciiTheme="minorEastAsia" w:hAnsiTheme="minorEastAsia" w:eastAsiaTheme="minorEastAsia"/>
          <w:b/>
          <w:szCs w:val="21"/>
        </w:rPr>
        <w:t>保守型、稳健型、平衡型、成长型、进取型</w:t>
      </w:r>
      <w:r>
        <w:rPr>
          <w:rFonts w:hint="eastAsia" w:asciiTheme="minorEastAsia" w:hAnsiTheme="minorEastAsia" w:eastAsiaTheme="minorEastAsia"/>
          <w:szCs w:val="21"/>
        </w:rPr>
        <w:t>。</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    4.个人投资者风险承受能力评估具体流程如下：                .           </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    客户进行风险承受能力评估  →  填写《个人客户风险承受能力评估问卷》  →  系统自动生成相应的客户风险承受能力评估结果  →  签名确认评估结果</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    （二）风险评级具体含义以及适合购买的理财产品</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    我行根据理财产品的投资组合、同类产品过往业绩和风险水平等因素，对理财产品进行风险评级，理财产品风险评级结果以风险等级体现，由低到高包括五个等级，即</w:t>
      </w:r>
      <w:r>
        <w:rPr>
          <w:rFonts w:hint="eastAsia" w:asciiTheme="minorEastAsia" w:hAnsiTheme="minorEastAsia" w:eastAsiaTheme="minorEastAsia"/>
          <w:b/>
          <w:szCs w:val="21"/>
        </w:rPr>
        <w:t>低风险（R1）、中低风险（R2）、中等风险（R3）、中高风险（R4）和高风险（R5）。</w:t>
      </w:r>
      <w:r>
        <w:rPr>
          <w:rFonts w:hint="eastAsia" w:asciiTheme="minorEastAsia" w:hAnsiTheme="minorEastAsia" w:eastAsiaTheme="minorEastAsia"/>
          <w:szCs w:val="21"/>
        </w:rPr>
        <w:t>根据风险匹配原则，投资者风险承受能力评级与其合适产品的风险等级对应关系如下：</w:t>
      </w:r>
    </w:p>
    <w:tbl>
      <w:tblPr>
        <w:tblStyle w:val="8"/>
        <w:tblW w:w="877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5528"/>
        <w:gridCol w:w="186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4" w:hRule="exact"/>
        </w:trPr>
        <w:tc>
          <w:tcPr>
            <w:tcW w:w="1384" w:type="dxa"/>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客户风险承受能力评级</w:t>
            </w:r>
          </w:p>
        </w:tc>
        <w:tc>
          <w:tcPr>
            <w:tcW w:w="5528" w:type="dxa"/>
            <w:vAlign w:val="center"/>
          </w:tcPr>
          <w:p>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客户风险特征描述</w:t>
            </w:r>
          </w:p>
        </w:tc>
        <w:tc>
          <w:tcPr>
            <w:tcW w:w="1865" w:type="dxa"/>
            <w:vAlign w:val="center"/>
          </w:tcPr>
          <w:p>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匹配的产品类型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3" w:hRule="exact"/>
        </w:trPr>
        <w:tc>
          <w:tcPr>
            <w:tcW w:w="1384" w:type="dxa"/>
            <w:vAlign w:val="center"/>
          </w:tcPr>
          <w:p>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保守型</w:t>
            </w:r>
          </w:p>
        </w:tc>
        <w:tc>
          <w:tcPr>
            <w:tcW w:w="5528" w:type="dxa"/>
            <w:vAlign w:val="center"/>
          </w:tcPr>
          <w:p>
            <w:pPr>
              <w:spacing w:line="300" w:lineRule="exact"/>
              <w:jc w:val="left"/>
              <w:rPr>
                <w:rFonts w:asciiTheme="minorEastAsia" w:hAnsiTheme="minorEastAsia" w:eastAsiaTheme="minorEastAsia"/>
                <w:szCs w:val="21"/>
              </w:rPr>
            </w:pPr>
            <w:r>
              <w:rPr>
                <w:rFonts w:hint="eastAsia" w:asciiTheme="minorEastAsia" w:hAnsiTheme="minorEastAsia" w:eastAsiaTheme="minorEastAsia"/>
                <w:szCs w:val="21"/>
              </w:rPr>
              <w:t>表示您不愿意接受本金损失，以资金安全为首要目标。</w:t>
            </w:r>
          </w:p>
        </w:tc>
        <w:tc>
          <w:tcPr>
            <w:tcW w:w="1865" w:type="dxa"/>
            <w:vAlign w:val="center"/>
          </w:tcPr>
          <w:p>
            <w:pPr>
              <w:pStyle w:val="16"/>
              <w:tabs>
                <w:tab w:val="left" w:pos="5820"/>
              </w:tabs>
              <w:ind w:firstLine="0" w:firstLineChars="0"/>
              <w:jc w:val="left"/>
              <w:rPr>
                <w:rFonts w:asciiTheme="minorEastAsia" w:hAnsiTheme="minorEastAsia" w:eastAsiaTheme="minorEastAsia"/>
                <w:szCs w:val="21"/>
              </w:rPr>
            </w:pPr>
            <w:r>
              <w:rPr>
                <w:rFonts w:hint="eastAsia" w:asciiTheme="minorEastAsia" w:hAnsiTheme="minorEastAsia" w:eastAsiaTheme="minorEastAsia"/>
                <w:szCs w:val="21"/>
              </w:rPr>
              <w:t>低风险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9" w:hRule="exact"/>
        </w:trPr>
        <w:tc>
          <w:tcPr>
            <w:tcW w:w="1384" w:type="dxa"/>
            <w:vAlign w:val="center"/>
          </w:tcPr>
          <w:p>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稳健型</w:t>
            </w:r>
          </w:p>
        </w:tc>
        <w:tc>
          <w:tcPr>
            <w:tcW w:w="5528" w:type="dxa"/>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表示您愿意承担较低程度的投资风险，适合投资于本金风险相对较小、具有一定升值能力的投资工具。</w:t>
            </w:r>
          </w:p>
          <w:p>
            <w:pPr>
              <w:spacing w:line="400" w:lineRule="exact"/>
              <w:jc w:val="left"/>
              <w:rPr>
                <w:rFonts w:asciiTheme="minorEastAsia" w:hAnsiTheme="minorEastAsia" w:eastAsiaTheme="minorEastAsia"/>
                <w:szCs w:val="21"/>
              </w:rPr>
            </w:pPr>
          </w:p>
        </w:tc>
        <w:tc>
          <w:tcPr>
            <w:tcW w:w="1865" w:type="dxa"/>
            <w:vAlign w:val="center"/>
          </w:tcPr>
          <w:p>
            <w:pPr>
              <w:pStyle w:val="16"/>
              <w:tabs>
                <w:tab w:val="left" w:pos="5820"/>
              </w:tabs>
              <w:ind w:firstLine="0" w:firstLineChars="0"/>
              <w:jc w:val="left"/>
              <w:rPr>
                <w:rFonts w:asciiTheme="minorEastAsia" w:hAnsiTheme="minorEastAsia" w:eastAsiaTheme="minorEastAsia"/>
                <w:szCs w:val="21"/>
              </w:rPr>
            </w:pPr>
            <w:r>
              <w:rPr>
                <w:rFonts w:hint="eastAsia" w:asciiTheme="minorEastAsia" w:hAnsiTheme="minorEastAsia" w:eastAsiaTheme="minorEastAsia"/>
                <w:szCs w:val="21"/>
              </w:rPr>
              <w:t>低、中低风险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6" w:hRule="exact"/>
        </w:trPr>
        <w:tc>
          <w:tcPr>
            <w:tcW w:w="1384" w:type="dxa"/>
            <w:vAlign w:val="center"/>
          </w:tcPr>
          <w:p>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平衡型</w:t>
            </w:r>
          </w:p>
        </w:tc>
        <w:tc>
          <w:tcPr>
            <w:tcW w:w="5528" w:type="dxa"/>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表示您愿意承担中等程度的投资风险，适合投资于有温和升值能力而投资价值有温和波动的投资工具。</w:t>
            </w:r>
          </w:p>
        </w:tc>
        <w:tc>
          <w:tcPr>
            <w:tcW w:w="1865" w:type="dxa"/>
            <w:vAlign w:val="center"/>
          </w:tcPr>
          <w:p>
            <w:pPr>
              <w:pStyle w:val="16"/>
              <w:tabs>
                <w:tab w:val="left" w:pos="5820"/>
              </w:tabs>
              <w:ind w:firstLine="0" w:firstLineChars="0"/>
              <w:jc w:val="left"/>
              <w:rPr>
                <w:rFonts w:asciiTheme="minorEastAsia" w:hAnsiTheme="minorEastAsia" w:eastAsiaTheme="minorEastAsia"/>
                <w:szCs w:val="21"/>
              </w:rPr>
            </w:pPr>
            <w:r>
              <w:rPr>
                <w:rFonts w:hint="eastAsia" w:asciiTheme="minorEastAsia" w:hAnsiTheme="minorEastAsia" w:eastAsiaTheme="minorEastAsia"/>
                <w:szCs w:val="21"/>
              </w:rPr>
              <w:t>低、中低、中等风险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2" w:hRule="exact"/>
        </w:trPr>
        <w:tc>
          <w:tcPr>
            <w:tcW w:w="1384" w:type="dxa"/>
            <w:vAlign w:val="center"/>
          </w:tcPr>
          <w:p>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成长型</w:t>
            </w:r>
          </w:p>
        </w:tc>
        <w:tc>
          <w:tcPr>
            <w:tcW w:w="5528" w:type="dxa"/>
            <w:vAlign w:val="center"/>
          </w:tcPr>
          <w:p>
            <w:pPr>
              <w:spacing w:line="300" w:lineRule="exact"/>
              <w:jc w:val="left"/>
              <w:rPr>
                <w:rFonts w:asciiTheme="minorEastAsia" w:hAnsiTheme="minorEastAsia" w:eastAsiaTheme="minorEastAsia"/>
                <w:szCs w:val="21"/>
              </w:rPr>
            </w:pPr>
            <w:r>
              <w:rPr>
                <w:rFonts w:hint="eastAsia" w:asciiTheme="minorEastAsia" w:hAnsiTheme="minorEastAsia" w:eastAsiaTheme="minorEastAsia"/>
                <w:szCs w:val="21"/>
              </w:rPr>
              <w:t>表示您愿意承担较高程度的投资风险，适合投资于有升值能力而投资价值有波动的投资工具</w:t>
            </w:r>
          </w:p>
        </w:tc>
        <w:tc>
          <w:tcPr>
            <w:tcW w:w="1865" w:type="dxa"/>
            <w:vAlign w:val="center"/>
          </w:tcPr>
          <w:p>
            <w:pPr>
              <w:pStyle w:val="16"/>
              <w:tabs>
                <w:tab w:val="left" w:pos="5820"/>
              </w:tabs>
              <w:spacing w:line="240" w:lineRule="exact"/>
              <w:ind w:firstLine="0" w:firstLineChars="0"/>
              <w:jc w:val="left"/>
              <w:rPr>
                <w:rFonts w:asciiTheme="minorEastAsia" w:hAnsiTheme="minorEastAsia" w:eastAsiaTheme="minorEastAsia"/>
                <w:szCs w:val="21"/>
              </w:rPr>
            </w:pPr>
            <w:r>
              <w:rPr>
                <w:rFonts w:hint="eastAsia" w:asciiTheme="minorEastAsia" w:hAnsiTheme="minorEastAsia" w:eastAsiaTheme="minorEastAsia"/>
                <w:szCs w:val="21"/>
              </w:rPr>
              <w:t>低、中低、中等、中高风险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96" w:hRule="exact"/>
        </w:trPr>
        <w:tc>
          <w:tcPr>
            <w:tcW w:w="1384" w:type="dxa"/>
            <w:vAlign w:val="center"/>
          </w:tcPr>
          <w:p>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进取型</w:t>
            </w:r>
          </w:p>
        </w:tc>
        <w:tc>
          <w:tcPr>
            <w:tcW w:w="5528" w:type="dxa"/>
            <w:vAlign w:val="center"/>
          </w:tcPr>
          <w:p>
            <w:pPr>
              <w:spacing w:line="300" w:lineRule="exact"/>
              <w:jc w:val="left"/>
              <w:rPr>
                <w:rFonts w:asciiTheme="minorEastAsia" w:hAnsiTheme="minorEastAsia" w:eastAsiaTheme="minorEastAsia"/>
                <w:szCs w:val="21"/>
              </w:rPr>
            </w:pPr>
            <w:r>
              <w:rPr>
                <w:rFonts w:hint="eastAsia" w:asciiTheme="minorEastAsia" w:hAnsiTheme="minorEastAsia" w:eastAsiaTheme="minorEastAsia"/>
                <w:szCs w:val="21"/>
              </w:rPr>
              <w:t>表示您愿意承担较高程度的投资风险，适合投资于高升值能力而投资波动大的投资工具，最坏情况下，可能导致失去全部投资本金并对投资所导致的任何亏损承担责任。</w:t>
            </w:r>
          </w:p>
        </w:tc>
        <w:tc>
          <w:tcPr>
            <w:tcW w:w="1865" w:type="dxa"/>
            <w:vAlign w:val="center"/>
          </w:tcPr>
          <w:p>
            <w:pPr>
              <w:pStyle w:val="16"/>
              <w:tabs>
                <w:tab w:val="left" w:pos="5820"/>
              </w:tabs>
              <w:ind w:firstLine="0" w:firstLineChars="0"/>
              <w:jc w:val="left"/>
              <w:rPr>
                <w:rFonts w:asciiTheme="minorEastAsia" w:hAnsiTheme="minorEastAsia" w:eastAsiaTheme="minorEastAsia"/>
                <w:szCs w:val="21"/>
              </w:rPr>
            </w:pPr>
            <w:r>
              <w:rPr>
                <w:rFonts w:hint="eastAsia" w:asciiTheme="minorEastAsia" w:hAnsiTheme="minorEastAsia" w:eastAsiaTheme="minorEastAsia"/>
                <w:szCs w:val="21"/>
              </w:rPr>
              <w:t>低、中低、中等、中高、高风险</w:t>
            </w:r>
          </w:p>
        </w:tc>
      </w:tr>
    </w:tbl>
    <w:p>
      <w:pPr>
        <w:spacing w:line="400" w:lineRule="exact"/>
        <w:rPr>
          <w:rFonts w:asciiTheme="minorEastAsia" w:hAnsiTheme="minorEastAsia" w:eastAsiaTheme="minorEastAsia"/>
          <w:szCs w:val="21"/>
        </w:rPr>
      </w:pPr>
    </w:p>
    <w:p>
      <w:pPr>
        <w:spacing w:line="40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三、理财产品的信息披露方式、渠道和频率</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理财产品相关信息披露方式、渠道和频率，您可根据本产品对应的《产品说明书》中所载明的“信息披露”约定，及时登陆承德银行网站、手机银行、拨打承德银行客服电话（0314-96368）或到承德银行营业网点进行查询。</w:t>
      </w:r>
    </w:p>
    <w:p>
      <w:pPr>
        <w:spacing w:line="40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四、投资者对理财产品投诉的方式和程序</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您对本产品有任何意见或异议，可向承德银行进行业务咨询和投诉，承德银行将由专人接听、记录您的意见或建议，并由各方协商共同解决。</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投诉方式：</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（一）客服电话 0314-96368。</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（二）承德银行各营业网点。</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（三）承德银行官网</w:t>
      </w:r>
    </w:p>
    <w:p>
      <w:pPr>
        <w:spacing w:line="400" w:lineRule="exact"/>
        <w:rPr>
          <w:rFonts w:asciiTheme="minorEastAsia" w:hAnsiTheme="minorEastAsia" w:eastAsiaTheme="minorEastAsia"/>
          <w:b/>
          <w:szCs w:val="21"/>
        </w:rPr>
      </w:pPr>
      <w:r>
        <w:rPr>
          <w:rFonts w:hint="eastAsia" w:asciiTheme="minorEastAsia" w:hAnsiTheme="minorEastAsia" w:eastAsiaTheme="minorEastAsia"/>
          <w:b/>
          <w:szCs w:val="21"/>
        </w:rPr>
        <w:t xml:space="preserve">    五、承德银行联络方式</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    官方网站：www.chengdebank.com</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    总行地址：河北省承德市世纪城三期5号楼</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    联系电话：0314-96368</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    邮编：067000</w:t>
      </w:r>
    </w:p>
    <w:bookmarkEnd w:id="0"/>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drawing>
        <wp:anchor distT="0" distB="0" distL="114300" distR="114300" simplePos="0" relativeHeight="251658240" behindDoc="0" locked="0" layoutInCell="1" allowOverlap="1">
          <wp:simplePos x="0" y="0"/>
          <wp:positionH relativeFrom="column">
            <wp:posOffset>4586605</wp:posOffset>
          </wp:positionH>
          <wp:positionV relativeFrom="paragraph">
            <wp:posOffset>-327025</wp:posOffset>
          </wp:positionV>
          <wp:extent cx="1510665" cy="389890"/>
          <wp:effectExtent l="0" t="0" r="0" b="0"/>
          <wp:wrapNone/>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srcRect/>
                  <a:stretch>
                    <a:fillRect/>
                  </a:stretch>
                </pic:blipFill>
                <pic:spPr>
                  <a:xfrm>
                    <a:off x="0" y="0"/>
                    <a:ext cx="1510665" cy="38989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7B127B"/>
    <w:rsid w:val="000316AB"/>
    <w:rsid w:val="000443D9"/>
    <w:rsid w:val="00051A65"/>
    <w:rsid w:val="00054980"/>
    <w:rsid w:val="000612F2"/>
    <w:rsid w:val="000A5EBE"/>
    <w:rsid w:val="000B19E3"/>
    <w:rsid w:val="000B3014"/>
    <w:rsid w:val="000F511E"/>
    <w:rsid w:val="00102ACF"/>
    <w:rsid w:val="00113495"/>
    <w:rsid w:val="0011355C"/>
    <w:rsid w:val="00116963"/>
    <w:rsid w:val="00146282"/>
    <w:rsid w:val="00150103"/>
    <w:rsid w:val="0015695F"/>
    <w:rsid w:val="001604D5"/>
    <w:rsid w:val="001713A8"/>
    <w:rsid w:val="001735B1"/>
    <w:rsid w:val="001941EF"/>
    <w:rsid w:val="0019471C"/>
    <w:rsid w:val="001C57B5"/>
    <w:rsid w:val="001E6BCB"/>
    <w:rsid w:val="001F2D65"/>
    <w:rsid w:val="001F4BEB"/>
    <w:rsid w:val="00212C99"/>
    <w:rsid w:val="00233A1E"/>
    <w:rsid w:val="00235D7C"/>
    <w:rsid w:val="00277345"/>
    <w:rsid w:val="00285A35"/>
    <w:rsid w:val="002A4F8D"/>
    <w:rsid w:val="002A7E9C"/>
    <w:rsid w:val="002B4479"/>
    <w:rsid w:val="002C0705"/>
    <w:rsid w:val="002F0E17"/>
    <w:rsid w:val="002F6961"/>
    <w:rsid w:val="00330986"/>
    <w:rsid w:val="00331B78"/>
    <w:rsid w:val="003337D2"/>
    <w:rsid w:val="00346337"/>
    <w:rsid w:val="00364BD8"/>
    <w:rsid w:val="003669A6"/>
    <w:rsid w:val="0037374F"/>
    <w:rsid w:val="00392FCC"/>
    <w:rsid w:val="00395E99"/>
    <w:rsid w:val="003A267C"/>
    <w:rsid w:val="003C0B7C"/>
    <w:rsid w:val="003C5521"/>
    <w:rsid w:val="003D7B51"/>
    <w:rsid w:val="003E5450"/>
    <w:rsid w:val="003F0043"/>
    <w:rsid w:val="00405F7F"/>
    <w:rsid w:val="00407DF5"/>
    <w:rsid w:val="00415475"/>
    <w:rsid w:val="00422165"/>
    <w:rsid w:val="00430744"/>
    <w:rsid w:val="004328A7"/>
    <w:rsid w:val="00480743"/>
    <w:rsid w:val="00491D93"/>
    <w:rsid w:val="0049369E"/>
    <w:rsid w:val="00494B0E"/>
    <w:rsid w:val="004A4FF5"/>
    <w:rsid w:val="004B2354"/>
    <w:rsid w:val="004C5E9F"/>
    <w:rsid w:val="004F0F8D"/>
    <w:rsid w:val="0050429C"/>
    <w:rsid w:val="0050673A"/>
    <w:rsid w:val="005068D6"/>
    <w:rsid w:val="005279EC"/>
    <w:rsid w:val="005371F9"/>
    <w:rsid w:val="00543378"/>
    <w:rsid w:val="00543E53"/>
    <w:rsid w:val="005504E8"/>
    <w:rsid w:val="00550D00"/>
    <w:rsid w:val="005525EA"/>
    <w:rsid w:val="00564900"/>
    <w:rsid w:val="00575E5D"/>
    <w:rsid w:val="0059685F"/>
    <w:rsid w:val="005B5B11"/>
    <w:rsid w:val="00607180"/>
    <w:rsid w:val="0063643B"/>
    <w:rsid w:val="00636ED2"/>
    <w:rsid w:val="00637323"/>
    <w:rsid w:val="00652BF5"/>
    <w:rsid w:val="0067268E"/>
    <w:rsid w:val="006A6E24"/>
    <w:rsid w:val="006C37FF"/>
    <w:rsid w:val="006C5225"/>
    <w:rsid w:val="007004DC"/>
    <w:rsid w:val="00703B63"/>
    <w:rsid w:val="00704D18"/>
    <w:rsid w:val="007277B1"/>
    <w:rsid w:val="007537ED"/>
    <w:rsid w:val="00781307"/>
    <w:rsid w:val="00791396"/>
    <w:rsid w:val="00791972"/>
    <w:rsid w:val="007A5CCC"/>
    <w:rsid w:val="007B127B"/>
    <w:rsid w:val="007D1D90"/>
    <w:rsid w:val="007E17FE"/>
    <w:rsid w:val="007E34D5"/>
    <w:rsid w:val="008166B4"/>
    <w:rsid w:val="00820283"/>
    <w:rsid w:val="0084554B"/>
    <w:rsid w:val="00861E7C"/>
    <w:rsid w:val="008F0FF9"/>
    <w:rsid w:val="008F26A3"/>
    <w:rsid w:val="00916334"/>
    <w:rsid w:val="0092108D"/>
    <w:rsid w:val="00931BB3"/>
    <w:rsid w:val="0093614D"/>
    <w:rsid w:val="00971B73"/>
    <w:rsid w:val="009A4399"/>
    <w:rsid w:val="009B3509"/>
    <w:rsid w:val="009C2466"/>
    <w:rsid w:val="009E6B3D"/>
    <w:rsid w:val="009F59F2"/>
    <w:rsid w:val="00A31DEE"/>
    <w:rsid w:val="00A814ED"/>
    <w:rsid w:val="00AA5015"/>
    <w:rsid w:val="00AC1438"/>
    <w:rsid w:val="00AF58F8"/>
    <w:rsid w:val="00B13FA1"/>
    <w:rsid w:val="00B41F9A"/>
    <w:rsid w:val="00B84372"/>
    <w:rsid w:val="00B845D3"/>
    <w:rsid w:val="00B939E6"/>
    <w:rsid w:val="00B96682"/>
    <w:rsid w:val="00BA4507"/>
    <w:rsid w:val="00BB72B1"/>
    <w:rsid w:val="00BD0B8A"/>
    <w:rsid w:val="00BD5F63"/>
    <w:rsid w:val="00BE1D4E"/>
    <w:rsid w:val="00BF130C"/>
    <w:rsid w:val="00C05BAD"/>
    <w:rsid w:val="00C1257A"/>
    <w:rsid w:val="00C236B9"/>
    <w:rsid w:val="00C360B3"/>
    <w:rsid w:val="00C621CC"/>
    <w:rsid w:val="00C67AB6"/>
    <w:rsid w:val="00C90FB5"/>
    <w:rsid w:val="00CD4AC9"/>
    <w:rsid w:val="00D02B51"/>
    <w:rsid w:val="00D146E3"/>
    <w:rsid w:val="00D22955"/>
    <w:rsid w:val="00D52086"/>
    <w:rsid w:val="00D63A57"/>
    <w:rsid w:val="00D66794"/>
    <w:rsid w:val="00D67F71"/>
    <w:rsid w:val="00D77D95"/>
    <w:rsid w:val="00D87057"/>
    <w:rsid w:val="00D91A9B"/>
    <w:rsid w:val="00DB1244"/>
    <w:rsid w:val="00DB5C3A"/>
    <w:rsid w:val="00DF4F00"/>
    <w:rsid w:val="00E03ABB"/>
    <w:rsid w:val="00E2435A"/>
    <w:rsid w:val="00E67B67"/>
    <w:rsid w:val="00E73676"/>
    <w:rsid w:val="00E906FA"/>
    <w:rsid w:val="00E957DF"/>
    <w:rsid w:val="00EA6050"/>
    <w:rsid w:val="00EB1892"/>
    <w:rsid w:val="00EB1C1E"/>
    <w:rsid w:val="00EB56CA"/>
    <w:rsid w:val="00ED152B"/>
    <w:rsid w:val="00EE34F6"/>
    <w:rsid w:val="00EE7DCA"/>
    <w:rsid w:val="00F33EA6"/>
    <w:rsid w:val="00F62D37"/>
    <w:rsid w:val="00F70F84"/>
    <w:rsid w:val="00F73D5C"/>
    <w:rsid w:val="00F747C9"/>
    <w:rsid w:val="00F80E8D"/>
    <w:rsid w:val="00F839C8"/>
    <w:rsid w:val="00F870D6"/>
    <w:rsid w:val="00F91761"/>
    <w:rsid w:val="00FC26AA"/>
    <w:rsid w:val="00FC3855"/>
    <w:rsid w:val="00FC50B5"/>
    <w:rsid w:val="00FD3F1C"/>
    <w:rsid w:val="00FE2C93"/>
    <w:rsid w:val="00FE7BA0"/>
    <w:rsid w:val="00FF6460"/>
    <w:rsid w:val="03FF0C88"/>
    <w:rsid w:val="14D32818"/>
    <w:rsid w:val="2C1A3D13"/>
    <w:rsid w:val="38362B83"/>
    <w:rsid w:val="4F5A3842"/>
    <w:rsid w:val="54661D54"/>
    <w:rsid w:val="549568BA"/>
    <w:rsid w:val="620E1D46"/>
    <w:rsid w:val="6DC50EAE"/>
    <w:rsid w:val="6E9E2712"/>
    <w:rsid w:val="725D0C6F"/>
    <w:rsid w:val="7E8E3E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4"/>
    <w:uiPriority w:val="0"/>
    <w:pPr>
      <w:jc w:val="left"/>
    </w:pPr>
  </w:style>
  <w:style w:type="paragraph" w:styleId="3">
    <w:name w:val="Balloon Text"/>
    <w:basedOn w:val="1"/>
    <w:link w:val="11"/>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uiPriority w:val="0"/>
    <w:rPr>
      <w:b/>
      <w:bCs/>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0">
    <w:name w:val="annotation reference"/>
    <w:basedOn w:val="9"/>
    <w:uiPriority w:val="0"/>
    <w:rPr>
      <w:sz w:val="21"/>
      <w:szCs w:val="21"/>
    </w:rPr>
  </w:style>
  <w:style w:type="character" w:customStyle="1" w:styleId="11">
    <w:name w:val="批注框文本 Char"/>
    <w:link w:val="3"/>
    <w:qFormat/>
    <w:uiPriority w:val="0"/>
    <w:rPr>
      <w:kern w:val="2"/>
      <w:sz w:val="18"/>
      <w:szCs w:val="18"/>
    </w:rPr>
  </w:style>
  <w:style w:type="paragraph" w:customStyle="1" w:styleId="12">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paragraph" w:customStyle="1" w:styleId="13">
    <w:name w:val="Char Char Char Char Char Char Char Char Char Char Char Char Char Char Char"/>
    <w:basedOn w:val="1"/>
    <w:qFormat/>
    <w:uiPriority w:val="0"/>
    <w:rPr>
      <w:szCs w:val="21"/>
    </w:rPr>
  </w:style>
  <w:style w:type="character" w:customStyle="1" w:styleId="14">
    <w:name w:val="批注文字 Char"/>
    <w:basedOn w:val="9"/>
    <w:link w:val="2"/>
    <w:qFormat/>
    <w:uiPriority w:val="0"/>
    <w:rPr>
      <w:kern w:val="2"/>
      <w:sz w:val="21"/>
      <w:szCs w:val="24"/>
    </w:rPr>
  </w:style>
  <w:style w:type="character" w:customStyle="1" w:styleId="15">
    <w:name w:val="批注主题 Char"/>
    <w:basedOn w:val="14"/>
    <w:link w:val="6"/>
    <w:qFormat/>
    <w:uiPriority w:val="0"/>
    <w:rPr>
      <w:b/>
      <w:bCs/>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BEA8BA-5DD0-4847-AADD-8D3D187D948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992</Words>
  <Characters>1022</Characters>
  <Lines>35</Lines>
  <Paragraphs>39</Paragraphs>
  <TotalTime>2343</TotalTime>
  <ScaleCrop>false</ScaleCrop>
  <LinksUpToDate>false</LinksUpToDate>
  <CharactersWithSpaces>1975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2021-06-07T08:09:00Z</dcterms:created>
  <dc:creator>微软用户</dc:creator>
  <cp:lastModifiedBy>郭东媛</cp:lastModifiedBy>
  <cp:lastPrinted>2017-05-25T03:58:00Z</cp:lastPrinted>
  <dcterms:modified xsi:type="dcterms:W3CDTF">2022-03-10T08:31:18Z</dcterms:modified>
  <dc:title>长安银行“长盛理财”人民币理财产品客户权益须知</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