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873" w:rsidRDefault="001A3132">
      <w:pPr>
        <w:spacing w:line="500" w:lineRule="exact"/>
        <w:jc w:val="center"/>
        <w:rPr>
          <w:rFonts w:ascii="黑体" w:eastAsia="黑体" w:hAnsi="宋体"/>
          <w:sz w:val="36"/>
          <w:szCs w:val="36"/>
        </w:rPr>
      </w:pPr>
      <w:r>
        <w:rPr>
          <w:rFonts w:ascii="黑体" w:eastAsia="黑体" w:hAnsi="宋体" w:hint="eastAsia"/>
          <w:sz w:val="36"/>
          <w:szCs w:val="36"/>
        </w:rPr>
        <w:t>承德银行人民币理财产品风险揭示书</w:t>
      </w:r>
    </w:p>
    <w:p w:rsidR="00E14873" w:rsidRDefault="001A3132">
      <w:pPr>
        <w:spacing w:line="500" w:lineRule="exact"/>
        <w:jc w:val="center"/>
        <w:rPr>
          <w:rFonts w:ascii="黑体" w:eastAsia="黑体" w:hAnsi="宋体"/>
          <w:color w:val="FF0000"/>
          <w:sz w:val="28"/>
          <w:szCs w:val="28"/>
        </w:rPr>
      </w:pPr>
      <w:r>
        <w:rPr>
          <w:rFonts w:ascii="黑体" w:eastAsia="黑体" w:hAnsi="宋体" w:hint="eastAsia"/>
          <w:color w:val="FF0000"/>
          <w:sz w:val="28"/>
          <w:szCs w:val="28"/>
        </w:rPr>
        <w:t>理财非存款、产品有风险、投资须谨慎</w:t>
      </w:r>
    </w:p>
    <w:p w:rsidR="00E14873" w:rsidRDefault="001A3132">
      <w:pPr>
        <w:spacing w:line="380" w:lineRule="exact"/>
        <w:rPr>
          <w:rFonts w:asciiTheme="minorEastAsia" w:eastAsiaTheme="minorEastAsia" w:hAnsiTheme="minorEastAsia"/>
          <w:sz w:val="22"/>
          <w:szCs w:val="21"/>
        </w:rPr>
      </w:pPr>
      <w:r>
        <w:rPr>
          <w:rFonts w:asciiTheme="minorEastAsia" w:eastAsiaTheme="minorEastAsia" w:hAnsiTheme="minorEastAsia" w:hint="eastAsia"/>
          <w:sz w:val="22"/>
          <w:szCs w:val="21"/>
        </w:rPr>
        <w:t>尊敬的投资者：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理财资金管理运行可能会面临多种风险因素，根据中国银行保险监督管理委员会相关监管规定的要求，</w:t>
      </w:r>
      <w:r>
        <w:rPr>
          <w:rFonts w:asciiTheme="minorEastAsia" w:eastAsiaTheme="minorEastAsia" w:hAnsiTheme="minorEastAsia"/>
          <w:sz w:val="22"/>
          <w:szCs w:val="21"/>
        </w:rPr>
        <w:t>承德银行</w:t>
      </w:r>
      <w:r>
        <w:rPr>
          <w:rFonts w:asciiTheme="minorEastAsia" w:eastAsiaTheme="minorEastAsia" w:hAnsiTheme="minorEastAsia" w:hint="eastAsia"/>
          <w:sz w:val="22"/>
          <w:szCs w:val="21"/>
        </w:rPr>
        <w:t>股份有限公司（以下简称承德银行）</w:t>
      </w:r>
      <w:r>
        <w:rPr>
          <w:rFonts w:asciiTheme="minorEastAsia" w:eastAsiaTheme="minorEastAsia" w:hAnsiTheme="minorEastAsia"/>
          <w:sz w:val="22"/>
          <w:szCs w:val="21"/>
        </w:rPr>
        <w:t>郑重提示</w:t>
      </w:r>
      <w:r>
        <w:rPr>
          <w:rFonts w:asciiTheme="minorEastAsia" w:eastAsiaTheme="minorEastAsia" w:hAnsiTheme="minorEastAsia" w:hint="eastAsia"/>
          <w:sz w:val="22"/>
          <w:szCs w:val="21"/>
        </w:rPr>
        <w:t>您</w:t>
      </w:r>
      <w:r>
        <w:rPr>
          <w:rFonts w:asciiTheme="minorEastAsia" w:eastAsiaTheme="minorEastAsia" w:hAnsiTheme="minor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sz w:val="22"/>
          <w:szCs w:val="21"/>
        </w:rPr>
        <w:t>在购买</w:t>
      </w:r>
      <w:r>
        <w:rPr>
          <w:rFonts w:asciiTheme="minorEastAsia" w:eastAsiaTheme="minorEastAsia" w:hAnsiTheme="minorEastAsia" w:hint="eastAsia"/>
          <w:sz w:val="22"/>
          <w:szCs w:val="21"/>
        </w:rPr>
        <w:t>本</w:t>
      </w:r>
      <w:r>
        <w:rPr>
          <w:rFonts w:asciiTheme="minorEastAsia" w:eastAsiaTheme="minorEastAsia" w:hAnsiTheme="minorEastAsia"/>
          <w:sz w:val="22"/>
          <w:szCs w:val="21"/>
        </w:rPr>
        <w:t>理财产品前，</w:t>
      </w:r>
      <w:r>
        <w:rPr>
          <w:rFonts w:asciiTheme="minorEastAsia" w:eastAsiaTheme="minorEastAsia" w:hAnsiTheme="minorEastAsia" w:hint="eastAsia"/>
          <w:sz w:val="22"/>
          <w:szCs w:val="21"/>
        </w:rPr>
        <w:t>请注意投资风险，并仔细阅读本产品风险揭示书及产品协议书、产品说明书、投资者权益须知等销售文件，了解理财产品具体情况；在购买理财产品后，请关注理财产品的信息披露情况，及时获取相关信息。</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本理财产品不保证本金和收益。投资者</w:t>
      </w:r>
      <w:r>
        <w:rPr>
          <w:rFonts w:asciiTheme="minorEastAsia" w:eastAsiaTheme="minorEastAsia" w:hAnsiTheme="minorEastAsia"/>
          <w:sz w:val="22"/>
          <w:szCs w:val="21"/>
        </w:rPr>
        <w:t>应确保自己完全理解该项投资的性质和所涉及的风险，详细了解和审慎评估该理财产品的资金投资方向、风险类型等基本情况，在慎重考虑后自行决定购买与自身风险承受能力和资产管理需求匹配的理财产品</w:t>
      </w:r>
      <w:r>
        <w:rPr>
          <w:rFonts w:asciiTheme="minorEastAsia" w:eastAsiaTheme="minorEastAsia" w:hAnsiTheme="minorEastAsia" w:hint="eastAsia"/>
          <w:sz w:val="22"/>
          <w:szCs w:val="21"/>
        </w:rPr>
        <w:t>。本风险揭示书列示的风险指理财产品项下可能涉及的风险，包括但不限于：</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asciiTheme="minorEastAsia" w:eastAsiaTheme="minorEastAsia" w:hAnsiTheme="minorEastAsia" w:cs="宋体" w:hint="eastAsia"/>
          <w:sz w:val="22"/>
          <w:szCs w:val="21"/>
        </w:rPr>
        <w:t>导致理财产品投资收益的波动，</w:t>
      </w:r>
      <w:r>
        <w:rPr>
          <w:rFonts w:asciiTheme="minorEastAsia" w:eastAsiaTheme="minorEastAsia" w:hAnsiTheme="minorEastAsia" w:hint="eastAsia"/>
          <w:sz w:val="22"/>
          <w:szCs w:val="21"/>
        </w:rPr>
        <w:t>在一定情况下甚至会对理财产品的成立与运行产生影响。</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二、流动性风险：投资者无提前赎回权和提前终止权，可能导致投资者需要资金时不能随时变现，丧失其他投资机会。</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三、信用风险：本理</w:t>
      </w:r>
      <w:r>
        <w:rPr>
          <w:rFonts w:asciiTheme="minorEastAsia" w:eastAsiaTheme="minorEastAsia" w:hAnsiTheme="minorEastAsia"/>
          <w:sz w:val="22"/>
          <w:szCs w:val="21"/>
        </w:rPr>
        <w:t>财产</w:t>
      </w:r>
      <w:r>
        <w:rPr>
          <w:rFonts w:asciiTheme="minorEastAsia" w:eastAsiaTheme="minorEastAsia" w:hAnsiTheme="minorEastAsia" w:hint="eastAsia"/>
          <w:sz w:val="22"/>
          <w:szCs w:val="21"/>
        </w:rPr>
        <w:t>品</w:t>
      </w:r>
      <w:r>
        <w:rPr>
          <w:rFonts w:asciiTheme="minorEastAsia" w:eastAsiaTheme="minorEastAsia" w:hAnsiTheme="minorEastAsia"/>
          <w:sz w:val="22"/>
          <w:szCs w:val="21"/>
        </w:rPr>
        <w:t>所投资的资产可能因为</w:t>
      </w:r>
      <w:r>
        <w:rPr>
          <w:rFonts w:asciiTheme="minorEastAsia" w:eastAsiaTheme="minorEastAsia" w:hAnsiTheme="minorEastAsia" w:hint="eastAsia"/>
          <w:sz w:val="22"/>
          <w:szCs w:val="21"/>
        </w:rPr>
        <w:t>债</w:t>
      </w:r>
      <w:r>
        <w:rPr>
          <w:rFonts w:asciiTheme="minorEastAsia" w:eastAsiaTheme="minorEastAsia" w:hAnsiTheme="minorEastAsia"/>
          <w:sz w:val="22"/>
          <w:szCs w:val="21"/>
        </w:rPr>
        <w:t>务人违约或其他原因在投资届满时不能足额变现</w:t>
      </w:r>
      <w:r>
        <w:rPr>
          <w:rFonts w:asciiTheme="minorEastAsia" w:eastAsiaTheme="minorEastAsia" w:hAnsiTheme="minorEastAsia" w:hint="eastAsia"/>
          <w:sz w:val="22"/>
          <w:szCs w:val="21"/>
        </w:rPr>
        <w:t>，</w:t>
      </w:r>
      <w:r>
        <w:rPr>
          <w:rFonts w:asciiTheme="minorEastAsia" w:eastAsiaTheme="minorEastAsia" w:hAnsiTheme="minorEastAsia"/>
          <w:sz w:val="22"/>
          <w:szCs w:val="21"/>
        </w:rPr>
        <w:t>可能导致理财产品遭受损失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四、政</w:t>
      </w:r>
      <w:r>
        <w:rPr>
          <w:rFonts w:asciiTheme="minorEastAsia" w:eastAsiaTheme="minorEastAsia" w:hAnsiTheme="minorEastAsia"/>
          <w:sz w:val="22"/>
          <w:szCs w:val="21"/>
        </w:rPr>
        <w:t>策</w:t>
      </w:r>
      <w:r>
        <w:rPr>
          <w:rFonts w:asciiTheme="minorEastAsia" w:eastAsiaTheme="minorEastAsia" w:hAnsiTheme="minorEastAsia" w:hint="eastAsia"/>
          <w:sz w:val="22"/>
          <w:szCs w:val="21"/>
        </w:rPr>
        <w:t>风险：本理</w:t>
      </w:r>
      <w:r>
        <w:rPr>
          <w:rFonts w:asciiTheme="minorEastAsia" w:eastAsiaTheme="minorEastAsia" w:hAnsiTheme="minorEastAsia"/>
          <w:sz w:val="22"/>
          <w:szCs w:val="21"/>
        </w:rPr>
        <w:t>财产品是根据当前的相关法规和政策设计的，如国</w:t>
      </w:r>
      <w:r>
        <w:rPr>
          <w:rFonts w:asciiTheme="minorEastAsia" w:eastAsiaTheme="minorEastAsia" w:hAnsiTheme="minorEastAsia" w:hint="eastAsia"/>
          <w:sz w:val="22"/>
          <w:szCs w:val="21"/>
        </w:rPr>
        <w:t>家</w:t>
      </w:r>
      <w:r>
        <w:rPr>
          <w:rFonts w:asciiTheme="minorEastAsia" w:eastAsiaTheme="minorEastAsia" w:hAnsiTheme="minorEastAsia"/>
          <w:sz w:val="22"/>
          <w:szCs w:val="21"/>
        </w:rPr>
        <w:t>宏观政策及市场相关法规政策发生变化，可能影响理财产品的受理</w:t>
      </w:r>
      <w:r>
        <w:rPr>
          <w:rFonts w:asciiTheme="minorEastAsia" w:eastAsiaTheme="minorEastAsia" w:hAnsiTheme="minorEastAsia" w:hint="eastAsia"/>
          <w:sz w:val="22"/>
          <w:szCs w:val="21"/>
        </w:rPr>
        <w:t>、</w:t>
      </w:r>
      <w:r>
        <w:rPr>
          <w:rFonts w:asciiTheme="minorEastAsia" w:eastAsiaTheme="minorEastAsia" w:hAnsiTheme="minorEastAsia"/>
          <w:sz w:val="22"/>
          <w:szCs w:val="21"/>
        </w:rPr>
        <w:t>投资</w:t>
      </w:r>
      <w:r>
        <w:rPr>
          <w:rFonts w:asciiTheme="minorEastAsia" w:eastAsiaTheme="minorEastAsia" w:hAnsiTheme="minorEastAsia" w:hint="eastAsia"/>
          <w:sz w:val="22"/>
          <w:szCs w:val="21"/>
        </w:rPr>
        <w:t>、</w:t>
      </w:r>
      <w:r>
        <w:rPr>
          <w:rFonts w:asciiTheme="minorEastAsia" w:eastAsiaTheme="minorEastAsia" w:hAnsiTheme="minorEastAsia"/>
          <w:sz w:val="22"/>
          <w:szCs w:val="21"/>
        </w:rPr>
        <w:t>偿还</w:t>
      </w:r>
      <w:r>
        <w:rPr>
          <w:rFonts w:asciiTheme="minorEastAsia" w:eastAsiaTheme="minorEastAsia" w:hAnsiTheme="minorEastAsia" w:hint="eastAsia"/>
          <w:sz w:val="22"/>
          <w:szCs w:val="21"/>
        </w:rPr>
        <w:t>等</w:t>
      </w:r>
      <w:r>
        <w:rPr>
          <w:rFonts w:asciiTheme="minorEastAsia" w:eastAsiaTheme="minorEastAsia" w:hAnsiTheme="minorEastAsia"/>
          <w:sz w:val="22"/>
          <w:szCs w:val="21"/>
        </w:rPr>
        <w:t>流程的正常运行，</w:t>
      </w:r>
      <w:r>
        <w:rPr>
          <w:rFonts w:asciiTheme="minorEastAsia" w:eastAsiaTheme="minorEastAsia" w:hAnsiTheme="minorEastAsia" w:hint="eastAsia"/>
          <w:sz w:val="22"/>
          <w:szCs w:val="21"/>
        </w:rPr>
        <w:t>甚</w:t>
      </w:r>
      <w:r>
        <w:rPr>
          <w:rFonts w:asciiTheme="minorEastAsia" w:eastAsiaTheme="minorEastAsia" w:hAnsiTheme="minorEastAsia"/>
          <w:sz w:val="22"/>
          <w:szCs w:val="21"/>
        </w:rPr>
        <w:t>至导致理财产品遭受损失</w:t>
      </w:r>
      <w:r>
        <w:rPr>
          <w:rFonts w:asciiTheme="minorEastAsia" w:eastAsiaTheme="minorEastAsia" w:hAnsiTheme="minorEastAsia" w:hint="eastAsia"/>
          <w:sz w:val="22"/>
          <w:szCs w:val="21"/>
        </w:rPr>
        <w:t>。</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五、提前终止风险：在投资期内，若发生承德银行认为需要提前终止理财产品的情况，承德银行有权提前终止理财产品，投资者可能面临不能按预期期限取得预期收益的风险。</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八、税务风险：理财计划在资产管理、运营、处置过程中产生的收入，根据国家相关法律法规应缴纳增值税（含增值税附加税费，下同）及/或其他税费的，即使本产品管理人被税务机关认定为纳税义务人，该等增值税及/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rsidR="00E14873" w:rsidRDefault="001A3132">
      <w:pPr>
        <w:spacing w:line="380" w:lineRule="exact"/>
        <w:ind w:firstLineChars="200" w:firstLine="440"/>
        <w:rPr>
          <w:rFonts w:asciiTheme="minorEastAsia" w:eastAsiaTheme="minorEastAsia" w:hAnsiTheme="minorEastAsia"/>
          <w:sz w:val="22"/>
          <w:szCs w:val="21"/>
        </w:rPr>
      </w:pPr>
      <w:r>
        <w:rPr>
          <w:rFonts w:asciiTheme="minorEastAsia" w:eastAsiaTheme="minorEastAsia" w:hAnsiTheme="minorEastAsia" w:hint="eastAsia"/>
          <w:sz w:val="22"/>
          <w:szCs w:val="21"/>
        </w:rPr>
        <w:t>九、不可抗</w:t>
      </w:r>
      <w:r>
        <w:rPr>
          <w:rFonts w:asciiTheme="minorEastAsia" w:eastAsiaTheme="minorEastAsia" w:hAnsiTheme="minorEastAsia"/>
          <w:sz w:val="22"/>
          <w:szCs w:val="21"/>
        </w:rPr>
        <w:t>力及意外事件</w:t>
      </w:r>
      <w:r>
        <w:rPr>
          <w:rFonts w:asciiTheme="minorEastAsia" w:eastAsiaTheme="minorEastAsia" w:hAnsiTheme="minorEastAsia" w:hint="eastAsia"/>
          <w:sz w:val="22"/>
          <w:szCs w:val="21"/>
        </w:rPr>
        <w:t>风险：如自然灾害、金融市场危机、战争等不可抗力因素造成的相关投资风险，因技术因素而产生的风险，如电脑系统故障等可能会造成本金及收益兑付延迟。</w:t>
      </w:r>
    </w:p>
    <w:p w:rsidR="00E14873" w:rsidRDefault="00E14873">
      <w:pPr>
        <w:spacing w:line="380" w:lineRule="exact"/>
        <w:ind w:firstLineChars="200" w:firstLine="440"/>
        <w:rPr>
          <w:rFonts w:asciiTheme="minorEastAsia" w:eastAsiaTheme="minorEastAsia" w:hAnsiTheme="minorEastAsia"/>
          <w:color w:val="FF0000"/>
          <w:sz w:val="22"/>
          <w:szCs w:val="21"/>
        </w:rPr>
      </w:pPr>
    </w:p>
    <w:p w:rsidR="00E14873" w:rsidRDefault="001A3132">
      <w:pPr>
        <w:spacing w:line="380" w:lineRule="exact"/>
        <w:ind w:firstLineChars="200" w:firstLine="442"/>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lastRenderedPageBreak/>
        <w:t>投资者风险特别提示：</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理财产品过往业绩不代表其未来表现，不等于理财产品实际收益，投资须谨慎。   </w:t>
      </w:r>
    </w:p>
    <w:p w:rsidR="00E14873" w:rsidRDefault="001A3132">
      <w:pPr>
        <w:spacing w:line="380" w:lineRule="exact"/>
        <w:ind w:firstLineChars="200" w:firstLine="442"/>
        <w:jc w:val="left"/>
        <w:rPr>
          <w:rFonts w:asciiTheme="minorEastAsia" w:eastAsiaTheme="minorEastAsia" w:hAnsiTheme="minorEastAsia"/>
          <w:b/>
          <w:sz w:val="22"/>
          <w:szCs w:val="21"/>
          <w:highlight w:val="red"/>
        </w:rPr>
      </w:pPr>
      <w:r>
        <w:rPr>
          <w:rFonts w:asciiTheme="minorEastAsia" w:eastAsiaTheme="minorEastAsia" w:hAnsiTheme="minorEastAsia" w:hint="eastAsia"/>
          <w:b/>
          <w:sz w:val="22"/>
          <w:szCs w:val="21"/>
        </w:rPr>
        <w:t>■ 本理财产品为【非保本浮动收益型】理财产品，期限【</w:t>
      </w:r>
      <w:bookmarkStart w:id="0" w:name="_GoBack"/>
      <w:bookmarkEnd w:id="0"/>
      <w:r w:rsidR="002F4FF7">
        <w:rPr>
          <w:rFonts w:asciiTheme="minorEastAsia" w:eastAsiaTheme="minorEastAsia" w:hAnsiTheme="minorEastAsia" w:hint="eastAsia"/>
          <w:b/>
          <w:sz w:val="22"/>
          <w:szCs w:val="21"/>
        </w:rPr>
        <w:t>194</w:t>
      </w:r>
      <w:r>
        <w:rPr>
          <w:rFonts w:asciiTheme="minorEastAsia" w:eastAsiaTheme="minorEastAsia" w:hAnsiTheme="minorEastAsia" w:hint="eastAsia"/>
          <w:b/>
          <w:sz w:val="22"/>
          <w:szCs w:val="21"/>
        </w:rPr>
        <w:t>天】</w:t>
      </w:r>
      <w:r>
        <w:rPr>
          <w:rFonts w:asciiTheme="minorEastAsia" w:eastAsiaTheme="minorEastAsia" w:hAnsiTheme="minorEastAsia" w:hint="eastAsia"/>
          <w:szCs w:val="21"/>
        </w:rPr>
        <w:t>，</w:t>
      </w:r>
      <w:r>
        <w:rPr>
          <w:rFonts w:asciiTheme="minorEastAsia" w:eastAsiaTheme="minorEastAsia" w:hAnsiTheme="minorEastAsia" w:hint="eastAsia"/>
          <w:b/>
          <w:sz w:val="22"/>
          <w:szCs w:val="21"/>
        </w:rPr>
        <w:t>风险评级为【中低风险(二级) 】，适合客户风险评级为【稳健型、平衡型、成长型、进取型】的投资者。如影响您风险承受能力的因素发生变化，请及时完成风险承受能力评估。</w:t>
      </w:r>
    </w:p>
    <w:p w:rsidR="00E14873" w:rsidRDefault="001A3132">
      <w:pPr>
        <w:spacing w:line="380" w:lineRule="exact"/>
        <w:jc w:val="left"/>
        <w:rPr>
          <w:rFonts w:asciiTheme="minorEastAsia" w:eastAsiaTheme="minorEastAsia" w:hAnsiTheme="minorEastAsia"/>
          <w:b/>
          <w:sz w:val="22"/>
          <w:szCs w:val="21"/>
        </w:rPr>
      </w:pPr>
      <w:r>
        <w:rPr>
          <w:rFonts w:asciiTheme="minorEastAsia" w:eastAsiaTheme="minorEastAsia" w:hAnsiTheme="minorEastAsia" w:hint="eastAsia"/>
          <w:b/>
          <w:sz w:val="22"/>
          <w:szCs w:val="21"/>
        </w:rPr>
        <w:t xml:space="preserve">    ■ 本理财产品不保证本金和收益，</w:t>
      </w:r>
      <w:r>
        <w:rPr>
          <w:rFonts w:asciiTheme="minorEastAsia" w:eastAsiaTheme="minorEastAsia" w:hAnsiTheme="minorEastAsia"/>
          <w:b/>
          <w:sz w:val="22"/>
          <w:szCs w:val="21"/>
        </w:rPr>
        <w:t>由于市</w:t>
      </w:r>
      <w:r>
        <w:rPr>
          <w:rFonts w:asciiTheme="minorEastAsia" w:eastAsiaTheme="minorEastAsia" w:hAnsiTheme="minorEastAsia" w:hint="eastAsia"/>
          <w:b/>
          <w:sz w:val="22"/>
          <w:szCs w:val="21"/>
        </w:rPr>
        <w:t>场</w:t>
      </w:r>
      <w:r>
        <w:rPr>
          <w:rFonts w:asciiTheme="minorEastAsia" w:eastAsiaTheme="minorEastAsia" w:hAnsiTheme="minorEastAsia"/>
          <w:b/>
          <w:sz w:val="22"/>
          <w:szCs w:val="21"/>
        </w:rPr>
        <w:t>波动或</w:t>
      </w:r>
      <w:r>
        <w:rPr>
          <w:rFonts w:asciiTheme="minorEastAsia" w:eastAsiaTheme="minorEastAsia" w:hAnsiTheme="minorEastAsia" w:hint="eastAsia"/>
          <w:b/>
          <w:sz w:val="22"/>
          <w:szCs w:val="21"/>
        </w:rPr>
        <w:t>发</w:t>
      </w:r>
      <w:r>
        <w:rPr>
          <w:rFonts w:asciiTheme="minorEastAsia" w:eastAsiaTheme="minorEastAsia" w:hAnsiTheme="minorEastAsia"/>
          <w:b/>
          <w:sz w:val="22"/>
          <w:szCs w:val="21"/>
        </w:rPr>
        <w:t>生信用风险</w:t>
      </w:r>
      <w:r>
        <w:rPr>
          <w:rFonts w:asciiTheme="minorEastAsia" w:eastAsiaTheme="minorEastAsia" w:hAnsiTheme="minorEastAsia" w:hint="eastAsia"/>
          <w:b/>
          <w:sz w:val="22"/>
          <w:szCs w:val="21"/>
        </w:rPr>
        <w:t>等</w:t>
      </w:r>
      <w:r>
        <w:rPr>
          <w:rFonts w:asciiTheme="minorEastAsia" w:eastAsiaTheme="minorEastAsia" w:hAnsiTheme="minorEastAsia"/>
          <w:b/>
          <w:sz w:val="22"/>
          <w:szCs w:val="21"/>
        </w:rPr>
        <w:t>导致相应损失，使产品到期时不足以支付预期收益，甚至不足以支付</w:t>
      </w:r>
      <w:r>
        <w:rPr>
          <w:rFonts w:asciiTheme="minorEastAsia" w:eastAsiaTheme="minorEastAsia" w:hAnsiTheme="minorEastAsia" w:hint="eastAsia"/>
          <w:b/>
          <w:sz w:val="22"/>
          <w:szCs w:val="21"/>
        </w:rPr>
        <w:t>理</w:t>
      </w:r>
      <w:r>
        <w:rPr>
          <w:rFonts w:asciiTheme="minorEastAsia" w:eastAsiaTheme="minorEastAsia" w:hAnsiTheme="minorEastAsia"/>
          <w:b/>
          <w:sz w:val="22"/>
          <w:szCs w:val="21"/>
        </w:rPr>
        <w:t>财产品本金，届时理财资金将按照</w:t>
      </w:r>
      <w:r>
        <w:rPr>
          <w:rFonts w:asciiTheme="minorEastAsia" w:eastAsiaTheme="minorEastAsia" w:hAnsiTheme="minorEastAsia" w:hint="eastAsia"/>
          <w:b/>
          <w:sz w:val="22"/>
          <w:szCs w:val="21"/>
        </w:rPr>
        <w:t>产</w:t>
      </w:r>
      <w:r>
        <w:rPr>
          <w:rFonts w:asciiTheme="minorEastAsia" w:eastAsiaTheme="minorEastAsia" w:hAnsiTheme="minorEastAsia"/>
          <w:b/>
          <w:sz w:val="22"/>
          <w:szCs w:val="21"/>
        </w:rPr>
        <w:t>品</w:t>
      </w:r>
      <w:r>
        <w:rPr>
          <w:rFonts w:asciiTheme="minorEastAsia" w:eastAsiaTheme="minorEastAsia" w:hAnsiTheme="minorEastAsia" w:hint="eastAsia"/>
          <w:b/>
          <w:sz w:val="22"/>
          <w:szCs w:val="21"/>
        </w:rPr>
        <w:t>到</w:t>
      </w:r>
      <w:r>
        <w:rPr>
          <w:rFonts w:asciiTheme="minorEastAsia" w:eastAsiaTheme="minorEastAsia" w:hAnsiTheme="minorEastAsia"/>
          <w:b/>
          <w:sz w:val="22"/>
          <w:szCs w:val="21"/>
        </w:rPr>
        <w:t>期时的实际现金资产向客户进行分配。</w:t>
      </w:r>
      <w:r>
        <w:rPr>
          <w:rFonts w:asciiTheme="minorEastAsia" w:eastAsiaTheme="minorEastAsia" w:hAnsiTheme="minorEastAsia" w:hint="eastAsia"/>
          <w:b/>
          <w:sz w:val="22"/>
          <w:szCs w:val="21"/>
        </w:rPr>
        <w:t>在最不利情况下，投资者甚至可能损失全部本金，投资者应充分认识投资风险，谨慎投资。</w:t>
      </w:r>
    </w:p>
    <w:p w:rsidR="00E14873" w:rsidRDefault="001A3132">
      <w:pPr>
        <w:spacing w:line="380" w:lineRule="exact"/>
        <w:jc w:val="left"/>
        <w:rPr>
          <w:rFonts w:asciiTheme="minorEastAsia" w:eastAsiaTheme="minorEastAsia" w:hAnsiTheme="minorEastAsia"/>
          <w:sz w:val="22"/>
          <w:szCs w:val="21"/>
        </w:rPr>
      </w:pPr>
      <w:r>
        <w:rPr>
          <w:rFonts w:asciiTheme="minorEastAsia" w:eastAsiaTheme="minorEastAsia" w:hAnsiTheme="minorEastAsia" w:hint="eastAsia"/>
          <w:b/>
          <w:sz w:val="22"/>
          <w:szCs w:val="21"/>
        </w:rPr>
        <w:t xml:space="preserve"> 示例：</w:t>
      </w:r>
      <w:r>
        <w:rPr>
          <w:rFonts w:asciiTheme="minorEastAsia" w:eastAsiaTheme="minorEastAsia" w:hAnsiTheme="minorEastAsia" w:hint="eastAsia"/>
          <w:sz w:val="22"/>
          <w:szCs w:val="21"/>
        </w:rPr>
        <w:t>如投资者购买本理财产品，本金为1万元，在理财产品资产组合项下资产全部亏损的最不利情况下，理财1万元本金将全部损失。</w:t>
      </w:r>
    </w:p>
    <w:p w:rsidR="00E14873" w:rsidRDefault="00E14873">
      <w:pPr>
        <w:spacing w:line="380" w:lineRule="exact"/>
        <w:jc w:val="left"/>
        <w:rPr>
          <w:rFonts w:asciiTheme="minorEastAsia" w:eastAsiaTheme="minorEastAsia" w:hAnsiTheme="minorEastAsia"/>
          <w:b/>
          <w:szCs w:val="21"/>
        </w:rPr>
      </w:pPr>
    </w:p>
    <w:p w:rsidR="00E14873" w:rsidRDefault="001A3132">
      <w:pPr>
        <w:spacing w:line="380" w:lineRule="exact"/>
        <w:ind w:firstLineChars="200" w:firstLine="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客户确认栏</w:t>
      </w: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rsidR="00E14873" w:rsidRDefault="00E14873">
      <w:pPr>
        <w:spacing w:line="380" w:lineRule="exact"/>
        <w:ind w:firstLineChars="3100" w:firstLine="6510"/>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1、本人经过承德银行风险承受能力评估，确认本人的风险承受能力评级结果为：  。如影响</w:t>
      </w:r>
    </w:p>
    <w:p w:rsidR="00E14873" w:rsidRDefault="001A3132">
      <w:pPr>
        <w:spacing w:line="380" w:lineRule="exact"/>
        <w:jc w:val="left"/>
        <w:rPr>
          <w:rFonts w:asciiTheme="minorEastAsia" w:eastAsiaTheme="minorEastAsia" w:hAnsiTheme="minorEastAsia"/>
          <w:szCs w:val="21"/>
        </w:rPr>
      </w:pPr>
      <w:r>
        <w:rPr>
          <w:rFonts w:asciiTheme="minorEastAsia" w:eastAsiaTheme="minorEastAsia" w:hAnsiTheme="minorEastAsia" w:hint="eastAsia"/>
          <w:szCs w:val="21"/>
        </w:rPr>
        <w:t>风险承受能力的因素发生变化，本人将及时完成风险承受能力评估。</w:t>
      </w:r>
    </w:p>
    <w:p w:rsidR="00E14873" w:rsidRDefault="00E14873">
      <w:pPr>
        <w:spacing w:line="380" w:lineRule="exact"/>
        <w:jc w:val="left"/>
        <w:rPr>
          <w:rFonts w:asciiTheme="minorEastAsia" w:eastAsiaTheme="minorEastAsia" w:hAnsiTheme="minorEastAsia"/>
          <w:szCs w:val="21"/>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1"/>
        <w:gridCol w:w="3499"/>
      </w:tblGrid>
      <w:tr w:rsidR="00E14873">
        <w:trPr>
          <w:jc w:val="center"/>
        </w:trPr>
        <w:tc>
          <w:tcPr>
            <w:tcW w:w="9180" w:type="dxa"/>
            <w:gridSpan w:val="3"/>
            <w:vAlign w:val="center"/>
          </w:tcPr>
          <w:p w:rsidR="00E14873" w:rsidRDefault="001A3132">
            <w:pPr>
              <w:pStyle w:val="aa"/>
              <w:tabs>
                <w:tab w:val="left" w:pos="5820"/>
              </w:tabs>
              <w:ind w:firstLineChars="0" w:firstLine="0"/>
              <w:jc w:val="center"/>
              <w:rPr>
                <w:rFonts w:ascii="宋体" w:hAnsi="宋体"/>
                <w:b/>
              </w:rPr>
            </w:pPr>
            <w:r>
              <w:rPr>
                <w:rFonts w:ascii="宋体" w:hAnsi="宋体" w:hint="eastAsia"/>
                <w:b/>
              </w:rPr>
              <w:t>客户风险承受能力评级及匹配的产品类型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客户风险承受能力评级</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客户风险承受能力等级</w:t>
            </w:r>
          </w:p>
        </w:tc>
        <w:tc>
          <w:tcPr>
            <w:tcW w:w="3499"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匹配的产品类型</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保守型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稳健型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中低风险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平衡型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中等风险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低、中低、中等风险产品</w:t>
            </w:r>
          </w:p>
        </w:tc>
      </w:tr>
      <w:tr w:rsidR="00E14873">
        <w:trPr>
          <w:trHeight w:val="70"/>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成长型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中高风险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低、中低、中等、中高风险产品</w:t>
            </w:r>
          </w:p>
        </w:tc>
      </w:tr>
      <w:tr w:rsidR="00E14873">
        <w:trPr>
          <w:jc w:val="center"/>
        </w:trPr>
        <w:tc>
          <w:tcPr>
            <w:tcW w:w="2840"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进取型</w:t>
            </w:r>
          </w:p>
        </w:tc>
        <w:tc>
          <w:tcPr>
            <w:tcW w:w="2841" w:type="dxa"/>
            <w:vAlign w:val="center"/>
          </w:tcPr>
          <w:p w:rsidR="00E14873" w:rsidRDefault="001A3132">
            <w:pPr>
              <w:pStyle w:val="aa"/>
              <w:tabs>
                <w:tab w:val="left" w:pos="5820"/>
              </w:tabs>
              <w:ind w:firstLineChars="0" w:firstLine="0"/>
              <w:jc w:val="center"/>
              <w:rPr>
                <w:rFonts w:ascii="宋体" w:hAnsi="宋体"/>
              </w:rPr>
            </w:pPr>
            <w:r>
              <w:rPr>
                <w:rFonts w:ascii="宋体" w:hAnsi="宋体" w:hint="eastAsia"/>
              </w:rPr>
              <w:t>高风险</w:t>
            </w:r>
          </w:p>
        </w:tc>
        <w:tc>
          <w:tcPr>
            <w:tcW w:w="3499" w:type="dxa"/>
          </w:tcPr>
          <w:p w:rsidR="00E14873" w:rsidRDefault="001A3132">
            <w:pPr>
              <w:pStyle w:val="aa"/>
              <w:tabs>
                <w:tab w:val="left" w:pos="5820"/>
              </w:tabs>
              <w:ind w:firstLineChars="0" w:firstLine="0"/>
              <w:rPr>
                <w:rFonts w:ascii="宋体" w:hAnsi="宋体"/>
              </w:rPr>
            </w:pPr>
            <w:r>
              <w:rPr>
                <w:rFonts w:ascii="宋体" w:hAnsi="宋体" w:hint="eastAsia"/>
              </w:rPr>
              <w:t>低、中低、中等、中高、高风险产品</w:t>
            </w:r>
          </w:p>
        </w:tc>
      </w:tr>
    </w:tbl>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2、须投资者亲笔全文抄录以下文字完成确认：“本人已经阅读风险揭示，愿意承担投资风险。”</w:t>
      </w:r>
    </w:p>
    <w:p w:rsidR="00E14873" w:rsidRDefault="00E14873">
      <w:pPr>
        <w:spacing w:line="380" w:lineRule="exact"/>
        <w:ind w:firstLineChars="200" w:firstLine="420"/>
        <w:rPr>
          <w:rFonts w:asciiTheme="minorEastAsia" w:eastAsiaTheme="minorEastAsia" w:hAnsiTheme="minorEastAsia"/>
          <w:szCs w:val="21"/>
        </w:rPr>
      </w:pPr>
    </w:p>
    <w:p w:rsidR="00E14873" w:rsidRDefault="00E14873">
      <w:pPr>
        <w:spacing w:line="380" w:lineRule="exact"/>
        <w:ind w:firstLineChars="200" w:firstLine="420"/>
        <w:rPr>
          <w:rFonts w:asciiTheme="minorEastAsia" w:eastAsiaTheme="minorEastAsia" w:hAnsiTheme="minorEastAsia"/>
          <w:szCs w:val="21"/>
          <w:u w:val="single"/>
        </w:rPr>
      </w:pPr>
    </w:p>
    <w:p w:rsidR="00E14873" w:rsidRDefault="00E14873">
      <w:pPr>
        <w:spacing w:line="380" w:lineRule="exact"/>
        <w:jc w:val="left"/>
        <w:rPr>
          <w:rFonts w:asciiTheme="minorEastAsia" w:eastAsiaTheme="minorEastAsia" w:hAnsiTheme="minorEastAsia"/>
          <w:szCs w:val="21"/>
        </w:rPr>
      </w:pPr>
    </w:p>
    <w:p w:rsidR="00E14873" w:rsidRDefault="00E14873">
      <w:pPr>
        <w:spacing w:line="380" w:lineRule="exact"/>
        <w:jc w:val="left"/>
        <w:rPr>
          <w:rFonts w:asciiTheme="minorEastAsia" w:eastAsiaTheme="minorEastAsia" w:hAnsiTheme="minorEastAsia"/>
          <w:szCs w:val="21"/>
        </w:rPr>
      </w:pPr>
    </w:p>
    <w:p w:rsidR="00E14873" w:rsidRDefault="001A3132">
      <w:pPr>
        <w:spacing w:line="380" w:lineRule="exact"/>
        <w:ind w:firstLineChars="3100" w:firstLine="6510"/>
        <w:jc w:val="left"/>
        <w:rPr>
          <w:rFonts w:asciiTheme="minorEastAsia" w:eastAsiaTheme="minorEastAsia" w:hAnsiTheme="minorEastAsia"/>
          <w:szCs w:val="21"/>
          <w:u w:val="single"/>
        </w:rPr>
      </w:pPr>
      <w:r>
        <w:rPr>
          <w:rFonts w:asciiTheme="minorEastAsia" w:eastAsiaTheme="minorEastAsia" w:hAnsiTheme="minorEastAsia" w:hint="eastAsia"/>
          <w:szCs w:val="21"/>
        </w:rPr>
        <w:t>确认人（签名）：</w:t>
      </w:r>
    </w:p>
    <w:p w:rsidR="00E14873" w:rsidRDefault="00E14873">
      <w:pPr>
        <w:spacing w:line="380" w:lineRule="exact"/>
        <w:ind w:firstLineChars="3050" w:firstLine="6405"/>
        <w:jc w:val="left"/>
        <w:rPr>
          <w:rFonts w:asciiTheme="minorEastAsia" w:eastAsiaTheme="minorEastAsia" w:hAnsiTheme="minorEastAsia"/>
          <w:szCs w:val="21"/>
        </w:rPr>
      </w:pPr>
    </w:p>
    <w:p w:rsidR="00E14873" w:rsidRDefault="001A3132">
      <w:pPr>
        <w:spacing w:line="380" w:lineRule="exact"/>
        <w:ind w:firstLineChars="3100" w:firstLine="6510"/>
        <w:rPr>
          <w:rFonts w:asciiTheme="minorEastAsia" w:eastAsiaTheme="minorEastAsia" w:hAnsiTheme="minorEastAsia"/>
          <w:szCs w:val="21"/>
        </w:rPr>
      </w:pPr>
      <w:r>
        <w:rPr>
          <w:rFonts w:asciiTheme="minorEastAsia" w:eastAsiaTheme="minorEastAsia" w:hAnsiTheme="minorEastAsia" w:hint="eastAsia"/>
          <w:szCs w:val="21"/>
        </w:rPr>
        <w:t>日期：   年   月   日</w:t>
      </w:r>
    </w:p>
    <w:p w:rsidR="00E14873" w:rsidRDefault="00E14873">
      <w:pPr>
        <w:spacing w:line="380" w:lineRule="exact"/>
        <w:jc w:val="left"/>
        <w:rPr>
          <w:rFonts w:asciiTheme="minorEastAsia" w:eastAsiaTheme="minorEastAsia" w:hAnsiTheme="minorEastAsia"/>
          <w:szCs w:val="21"/>
        </w:rPr>
      </w:pPr>
    </w:p>
    <w:sectPr w:rsidR="00E14873" w:rsidSect="00E14873">
      <w:headerReference w:type="default" r:id="rId8"/>
      <w:pgSz w:w="11906" w:h="16838"/>
      <w:pgMar w:top="624" w:right="720" w:bottom="624"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35E" w:rsidRDefault="00B0735E" w:rsidP="00E14873">
      <w:r>
        <w:separator/>
      </w:r>
    </w:p>
  </w:endnote>
  <w:endnote w:type="continuationSeparator" w:id="1">
    <w:p w:rsidR="00B0735E" w:rsidRDefault="00B0735E" w:rsidP="00E14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35E" w:rsidRDefault="00B0735E" w:rsidP="00E14873">
      <w:r>
        <w:separator/>
      </w:r>
    </w:p>
  </w:footnote>
  <w:footnote w:type="continuationSeparator" w:id="1">
    <w:p w:rsidR="00B0735E" w:rsidRDefault="00B0735E" w:rsidP="00E148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873" w:rsidRDefault="001A3132">
    <w:pPr>
      <w:pStyle w:val="a6"/>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4979670</wp:posOffset>
          </wp:positionH>
          <wp:positionV relativeFrom="paragraph">
            <wp:posOffset>-398780</wp:posOffset>
          </wp:positionV>
          <wp:extent cx="1520190" cy="391795"/>
          <wp:effectExtent l="0" t="0" r="3810" b="0"/>
          <wp:wrapNone/>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srcRect/>
                  <a:stretch>
                    <a:fillRect/>
                  </a:stretch>
                </pic:blipFill>
                <pic:spPr>
                  <a:xfrm>
                    <a:off x="0" y="0"/>
                    <a:ext cx="1520190" cy="391795"/>
                  </a:xfrm>
                  <a:prstGeom prst="rect">
                    <a:avLst/>
                  </a:prstGeom>
                  <a:noFill/>
                  <a:ln w="9525" cmpd="sng">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127B"/>
    <w:rsid w:val="00016C1F"/>
    <w:rsid w:val="0001772A"/>
    <w:rsid w:val="000316AB"/>
    <w:rsid w:val="00047FE1"/>
    <w:rsid w:val="0005309E"/>
    <w:rsid w:val="00054980"/>
    <w:rsid w:val="000612F2"/>
    <w:rsid w:val="000B2C55"/>
    <w:rsid w:val="000D0F0F"/>
    <w:rsid w:val="000D5163"/>
    <w:rsid w:val="000E1C63"/>
    <w:rsid w:val="000E46DF"/>
    <w:rsid w:val="000E5EF2"/>
    <w:rsid w:val="000F511E"/>
    <w:rsid w:val="000F57B7"/>
    <w:rsid w:val="001137D1"/>
    <w:rsid w:val="00125B27"/>
    <w:rsid w:val="0016431D"/>
    <w:rsid w:val="001735B1"/>
    <w:rsid w:val="001A3132"/>
    <w:rsid w:val="001A4B53"/>
    <w:rsid w:val="001B3236"/>
    <w:rsid w:val="001C7FD0"/>
    <w:rsid w:val="001D4923"/>
    <w:rsid w:val="001E55DC"/>
    <w:rsid w:val="00212C99"/>
    <w:rsid w:val="00215012"/>
    <w:rsid w:val="00233A1E"/>
    <w:rsid w:val="0024015F"/>
    <w:rsid w:val="00245C12"/>
    <w:rsid w:val="002545D0"/>
    <w:rsid w:val="002664D6"/>
    <w:rsid w:val="00285A35"/>
    <w:rsid w:val="002A403B"/>
    <w:rsid w:val="002A6FD0"/>
    <w:rsid w:val="002B4479"/>
    <w:rsid w:val="002B6936"/>
    <w:rsid w:val="002D1B02"/>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30016"/>
    <w:rsid w:val="00432413"/>
    <w:rsid w:val="004328A7"/>
    <w:rsid w:val="004368ED"/>
    <w:rsid w:val="00442A28"/>
    <w:rsid w:val="00467437"/>
    <w:rsid w:val="00480743"/>
    <w:rsid w:val="0049054D"/>
    <w:rsid w:val="0049469C"/>
    <w:rsid w:val="004A4FF5"/>
    <w:rsid w:val="004B3BED"/>
    <w:rsid w:val="004C5E9F"/>
    <w:rsid w:val="004F1D69"/>
    <w:rsid w:val="005274B0"/>
    <w:rsid w:val="00527A7D"/>
    <w:rsid w:val="00534275"/>
    <w:rsid w:val="005371F9"/>
    <w:rsid w:val="00564900"/>
    <w:rsid w:val="00574472"/>
    <w:rsid w:val="005A2BC2"/>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B127B"/>
    <w:rsid w:val="007B27EC"/>
    <w:rsid w:val="007B4B22"/>
    <w:rsid w:val="007D3733"/>
    <w:rsid w:val="007D70DE"/>
    <w:rsid w:val="007E17FE"/>
    <w:rsid w:val="007E34D5"/>
    <w:rsid w:val="00810326"/>
    <w:rsid w:val="00861E7C"/>
    <w:rsid w:val="00862CBB"/>
    <w:rsid w:val="008835C6"/>
    <w:rsid w:val="008D65E1"/>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A31DEE"/>
    <w:rsid w:val="00A331AF"/>
    <w:rsid w:val="00A401DA"/>
    <w:rsid w:val="00A50C01"/>
    <w:rsid w:val="00A55F9B"/>
    <w:rsid w:val="00A61908"/>
    <w:rsid w:val="00A736CC"/>
    <w:rsid w:val="00A92EB2"/>
    <w:rsid w:val="00AA0EAD"/>
    <w:rsid w:val="00AA5015"/>
    <w:rsid w:val="00AB41B0"/>
    <w:rsid w:val="00AC02DC"/>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D65DD"/>
    <w:rsid w:val="00BE1D4E"/>
    <w:rsid w:val="00BE5919"/>
    <w:rsid w:val="00BE6C02"/>
    <w:rsid w:val="00BF2BEC"/>
    <w:rsid w:val="00C04B27"/>
    <w:rsid w:val="00C05BA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15AE6"/>
    <w:rsid w:val="00D22955"/>
    <w:rsid w:val="00D2496F"/>
    <w:rsid w:val="00D25175"/>
    <w:rsid w:val="00D30D10"/>
    <w:rsid w:val="00D42FE9"/>
    <w:rsid w:val="00D50AF9"/>
    <w:rsid w:val="00D63129"/>
    <w:rsid w:val="00D63A57"/>
    <w:rsid w:val="00D67F71"/>
    <w:rsid w:val="00D87057"/>
    <w:rsid w:val="00DB1244"/>
    <w:rsid w:val="00DB1D09"/>
    <w:rsid w:val="00DF4F00"/>
    <w:rsid w:val="00DF6CD9"/>
    <w:rsid w:val="00E03ABB"/>
    <w:rsid w:val="00E14873"/>
    <w:rsid w:val="00E1715E"/>
    <w:rsid w:val="00E73676"/>
    <w:rsid w:val="00E906FA"/>
    <w:rsid w:val="00EA729A"/>
    <w:rsid w:val="00EB1892"/>
    <w:rsid w:val="00EB1C1E"/>
    <w:rsid w:val="00EB1FAD"/>
    <w:rsid w:val="00EB491B"/>
    <w:rsid w:val="00EB56CA"/>
    <w:rsid w:val="00ED152B"/>
    <w:rsid w:val="00EE34F6"/>
    <w:rsid w:val="00F4512A"/>
    <w:rsid w:val="00F56049"/>
    <w:rsid w:val="00F67097"/>
    <w:rsid w:val="00F70F84"/>
    <w:rsid w:val="00F73297"/>
    <w:rsid w:val="00F73C95"/>
    <w:rsid w:val="00F747C9"/>
    <w:rsid w:val="00F75DAB"/>
    <w:rsid w:val="00F86CDA"/>
    <w:rsid w:val="00F870D6"/>
    <w:rsid w:val="00F96050"/>
    <w:rsid w:val="00FA3B06"/>
    <w:rsid w:val="00FC3855"/>
    <w:rsid w:val="00FC50B5"/>
    <w:rsid w:val="00FD1C11"/>
    <w:rsid w:val="00FE252C"/>
    <w:rsid w:val="08045484"/>
    <w:rsid w:val="0A3C744C"/>
    <w:rsid w:val="0BB62F6C"/>
    <w:rsid w:val="0CC07FBA"/>
    <w:rsid w:val="0EB94BC1"/>
    <w:rsid w:val="12E2629F"/>
    <w:rsid w:val="15C80FCF"/>
    <w:rsid w:val="16073390"/>
    <w:rsid w:val="1686738B"/>
    <w:rsid w:val="18142C61"/>
    <w:rsid w:val="2B6F128B"/>
    <w:rsid w:val="2B9C487A"/>
    <w:rsid w:val="2D2168F4"/>
    <w:rsid w:val="310825D9"/>
    <w:rsid w:val="326217E0"/>
    <w:rsid w:val="39A90BE5"/>
    <w:rsid w:val="3AD266DB"/>
    <w:rsid w:val="3BCA592D"/>
    <w:rsid w:val="4E61701C"/>
    <w:rsid w:val="55863267"/>
    <w:rsid w:val="561E734E"/>
    <w:rsid w:val="5B8A0E67"/>
    <w:rsid w:val="5BA72402"/>
    <w:rsid w:val="5EEE627D"/>
    <w:rsid w:val="637B27E5"/>
    <w:rsid w:val="637C3D6F"/>
    <w:rsid w:val="73064A90"/>
    <w:rsid w:val="73DE16FF"/>
    <w:rsid w:val="77554BC2"/>
    <w:rsid w:val="789C4B2D"/>
    <w:rsid w:val="78A81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48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4873"/>
    <w:pPr>
      <w:jc w:val="left"/>
    </w:pPr>
  </w:style>
  <w:style w:type="paragraph" w:styleId="a4">
    <w:name w:val="Balloon Text"/>
    <w:basedOn w:val="a"/>
    <w:link w:val="Char0"/>
    <w:qFormat/>
    <w:rsid w:val="00E14873"/>
    <w:rPr>
      <w:sz w:val="18"/>
      <w:szCs w:val="18"/>
    </w:rPr>
  </w:style>
  <w:style w:type="paragraph" w:styleId="a5">
    <w:name w:val="footer"/>
    <w:basedOn w:val="a"/>
    <w:qFormat/>
    <w:rsid w:val="00E14873"/>
    <w:pPr>
      <w:tabs>
        <w:tab w:val="center" w:pos="4153"/>
        <w:tab w:val="right" w:pos="8306"/>
      </w:tabs>
      <w:snapToGrid w:val="0"/>
      <w:jc w:val="left"/>
    </w:pPr>
    <w:rPr>
      <w:sz w:val="18"/>
      <w:szCs w:val="18"/>
    </w:rPr>
  </w:style>
  <w:style w:type="paragraph" w:styleId="a6">
    <w:name w:val="header"/>
    <w:basedOn w:val="a"/>
    <w:qFormat/>
    <w:rsid w:val="00E14873"/>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1"/>
    <w:qFormat/>
    <w:rsid w:val="00E14873"/>
    <w:rPr>
      <w:b/>
      <w:bCs/>
    </w:rPr>
  </w:style>
  <w:style w:type="table" w:styleId="a8">
    <w:name w:val="Table Grid"/>
    <w:basedOn w:val="a1"/>
    <w:qFormat/>
    <w:rsid w:val="00E148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basedOn w:val="a0"/>
    <w:qFormat/>
    <w:rsid w:val="00E14873"/>
    <w:rPr>
      <w:sz w:val="21"/>
      <w:szCs w:val="21"/>
    </w:rPr>
  </w:style>
  <w:style w:type="character" w:customStyle="1" w:styleId="Char0">
    <w:name w:val="批注框文本 Char"/>
    <w:link w:val="a4"/>
    <w:qFormat/>
    <w:rsid w:val="00E14873"/>
    <w:rPr>
      <w:kern w:val="2"/>
      <w:sz w:val="18"/>
      <w:szCs w:val="18"/>
    </w:rPr>
  </w:style>
  <w:style w:type="paragraph" w:customStyle="1" w:styleId="CharCharCharCharCharCharCharCharCharCharCharCharCharCharChar">
    <w:name w:val="Char Char Char Char Char Char Char Char Char Char Char Char Char Char Char"/>
    <w:basedOn w:val="a"/>
    <w:qFormat/>
    <w:rsid w:val="00E14873"/>
    <w:rPr>
      <w:szCs w:val="21"/>
    </w:rPr>
  </w:style>
  <w:style w:type="paragraph" w:customStyle="1" w:styleId="Default">
    <w:name w:val="Default"/>
    <w:qFormat/>
    <w:rsid w:val="00E14873"/>
    <w:pPr>
      <w:widowControl w:val="0"/>
      <w:autoSpaceDE w:val="0"/>
      <w:autoSpaceDN w:val="0"/>
      <w:adjustRightInd w:val="0"/>
    </w:pPr>
    <w:rPr>
      <w:rFonts w:ascii="宋体" w:hint="eastAsia"/>
      <w:color w:val="000000"/>
      <w:sz w:val="24"/>
      <w:szCs w:val="24"/>
    </w:rPr>
  </w:style>
  <w:style w:type="character" w:customStyle="1" w:styleId="Char">
    <w:name w:val="批注文字 Char"/>
    <w:basedOn w:val="a0"/>
    <w:link w:val="a3"/>
    <w:qFormat/>
    <w:rsid w:val="00E14873"/>
    <w:rPr>
      <w:kern w:val="2"/>
      <w:sz w:val="21"/>
      <w:szCs w:val="24"/>
    </w:rPr>
  </w:style>
  <w:style w:type="character" w:customStyle="1" w:styleId="Char1">
    <w:name w:val="批注主题 Char"/>
    <w:basedOn w:val="Char"/>
    <w:link w:val="a7"/>
    <w:qFormat/>
    <w:rsid w:val="00E14873"/>
    <w:rPr>
      <w:b/>
      <w:bCs/>
    </w:rPr>
  </w:style>
  <w:style w:type="paragraph" w:styleId="aa">
    <w:name w:val="List Paragraph"/>
    <w:basedOn w:val="a"/>
    <w:uiPriority w:val="34"/>
    <w:qFormat/>
    <w:rsid w:val="00E1487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17CA6-0AC9-4D2B-A6AD-07B0315D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350</Words>
  <Characters>1999</Characters>
  <Application>Microsoft Office Word</Application>
  <DocSecurity>0</DocSecurity>
  <Lines>16</Lines>
  <Paragraphs>4</Paragraphs>
  <ScaleCrop>false</ScaleCrop>
  <Company>Microsoft</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长安银行“长盛理财”人民币理财产品客户权益须知</dc:title>
  <dc:creator>微软用户</dc:creator>
  <cp:lastModifiedBy>dreamsummit</cp:lastModifiedBy>
  <cp:revision>28</cp:revision>
  <cp:lastPrinted>2017-06-30T02:03:00Z</cp:lastPrinted>
  <dcterms:created xsi:type="dcterms:W3CDTF">2021-06-04T08:24:00Z</dcterms:created>
  <dcterms:modified xsi:type="dcterms:W3CDTF">2021-10-22T03:51:00Z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