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“承德银行承溢盈人民币理财产品第二百六十八期”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2025年第一季度运作情况报告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承德银行承溢盈人民币理财产品第二百六十八期（产品代码CYY0268）其关键要素如下：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C1089224000035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2024年5月22日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2025年6月10日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384天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3.00%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截至2025年3月31日，本产品投资的持仓资产结构如下：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1.08</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公募基金</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股票基金</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9.85</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89.07</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截至2025年3月31日，本产品持仓前十大资产市值合计</w:t>
            </w:r>
            <w:r>
              <w:rPr>
                <w:rFonts w:hint="eastAsia" w:ascii="宋体" w:hAnsi="宋体" w:eastAsia="宋体" w:cs="宋体"/>
                <w:color w:val="000000"/>
                <w:sz w:val="24"/>
                <w:lang w:val="en-US" w:eastAsia="zh-CN"/>
              </w:rPr>
              <w:t>1603.04</w:t>
            </w:r>
            <w:r>
              <w:rPr>
                <w:rFonts w:ascii="宋体" w:hAnsi="宋体" w:eastAsia="宋体" w:cs="宋体"/>
                <w:color w:val="000000"/>
                <w:sz w:val="24"/>
              </w:rPr>
              <w:t>万元，占全部持仓资产规模合计9</w:t>
            </w:r>
            <w:r>
              <w:rPr>
                <w:rFonts w:hint="eastAsia" w:ascii="宋体" w:hAnsi="宋体" w:eastAsia="宋体" w:cs="宋体"/>
                <w:color w:val="000000"/>
                <w:sz w:val="24"/>
                <w:lang w:val="en-US" w:eastAsia="zh-CN"/>
              </w:rPr>
              <w:t>1.89</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728.10</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4</w:t>
                        </w:r>
                        <w:r>
                          <w:rPr>
                            <w:rFonts w:hint="eastAsia" w:ascii="宋体" w:hAnsi="宋体" w:eastAsia="宋体" w:cs="宋体"/>
                            <w:color w:val="000000"/>
                            <w:sz w:val="24"/>
                            <w:lang w:val="en-US" w:eastAsia="zh-CN"/>
                          </w:rPr>
                          <w:t>2</w:t>
                        </w:r>
                        <w:r>
                          <w:rPr>
                            <w:rFonts w:ascii="宋体" w:hAnsi="宋体" w:eastAsia="宋体" w:cs="宋体"/>
                            <w:color w:val="000000"/>
                            <w:sz w:val="24"/>
                          </w:rPr>
                          <w:t>.7</w:t>
                        </w:r>
                        <w:r>
                          <w:rPr>
                            <w:rFonts w:hint="eastAsia" w:ascii="宋体" w:hAnsi="宋体" w:eastAsia="宋体" w:cs="宋体"/>
                            <w:color w:val="000000"/>
                            <w:sz w:val="24"/>
                            <w:lang w:val="en-US" w:eastAsia="zh-CN"/>
                          </w:rPr>
                          <w:t>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22汉口银行二级01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137.97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7.91</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22湖北银行二级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136.44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7.82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22泸州银行二级资本债01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135.63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eastAsia" w:eastAsia="宋体"/>
                            <w:lang w:val="en-US" w:eastAsia="zh-CN"/>
                          </w:rPr>
                        </w:pPr>
                        <w:r>
                          <w:rPr>
                            <w:rFonts w:ascii="宋体" w:hAnsi="宋体" w:eastAsia="宋体" w:cs="宋体"/>
                            <w:color w:val="000000"/>
                            <w:sz w:val="24"/>
                          </w:rPr>
                          <w:t>7.7</w:t>
                        </w:r>
                        <w:r>
                          <w:rPr>
                            <w:rFonts w:hint="eastAsia" w:ascii="宋体" w:hAnsi="宋体" w:eastAsia="宋体" w:cs="宋体"/>
                            <w:color w:val="000000"/>
                            <w:sz w:val="24"/>
                            <w:lang w:val="en-US" w:eastAsia="zh-CN"/>
                          </w:rPr>
                          <w:t>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22威海商行二级资本债01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134.39</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7.70</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72.03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4.13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71.02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4.07</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70.58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4.05</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69.37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3.98</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银华中证创新药产业ETF</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30.34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1.74</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bookmarkStart w:id="1" w:name="_GoBack"/>
            <w:bookmarkEnd w:id="1"/>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2025年3月31日，本产品存续份额为15,000,000.00份，持有资产总规模为17,444,465.52元，产品资产净值为17,430,269.58元，单位净值为1.1620元，累计单位净值为1.1620元。本报告期内产品单位净值上涨0.088元，自成立以来产品单位净值上涨0.162元，成立至今实现年化收益率为18.8312%。</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2025年3月31日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800"/>
  <w:compat>
    <w:useFELayout/>
    <w:splitPgBreakAndParaMark/>
    <w:compatSetting w:name="compatibilityMode" w:uri="http://schemas.microsoft.com/office/word" w:val="12"/>
  </w:compat>
  <w:rsids>
    <w:rsidRoot w:val="00000000"/>
    <w:rsid w:val="19A30400"/>
    <w:rsid w:val="416C3DB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uiPriority w:val="0"/>
  </w:style>
  <w:style w:type="table" w:default="1" w:styleId="2">
    <w:name w:val="Normal Table"/>
    <w:semiHidden/>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4</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2025-04-03T03:02:00Z</dcterms:created>
  <dc:creator>huawei</dc:creator>
  <cp:lastModifiedBy>赵荆伟</cp:lastModifiedBy>
  <dcterms:modified xsi:type="dcterms:W3CDTF">2025-04-07T10:41:08Z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