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“承德银行承溢盈人民币理财产品第二百六十一期”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承德银行承溢盈人民币理财产品第二百六十一期（产品代码CYY0261）其关键要素如下：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C1089224000028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2025年5月13日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bookmarkStart w:id="1" w:name="_GoBack"/>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0.03</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99.97</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bookmarkEnd w:id="1"/>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截至2025年3月31日，本产品持仓前十大资产市值合计900.06万元，占全部持仓资产规模合计100.0</w:t>
            </w:r>
            <w:r>
              <w:rPr>
                <w:rFonts w:hint="eastAsia" w:ascii="宋体" w:hAnsi="宋体" w:eastAsia="宋体" w:cs="宋体"/>
                <w:color w:val="000000"/>
                <w:sz w:val="24"/>
                <w:lang w:val="en-US" w:eastAsia="zh-CN"/>
              </w:rPr>
              <w:t>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419.76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46.64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72.41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val="en-US" w:eastAsia="zh-CN"/>
                          </w:rPr>
                        </w:pPr>
                        <w:r>
                          <w:rPr>
                            <w:rFonts w:ascii="宋体" w:hAnsi="宋体" w:eastAsia="宋体" w:cs="宋体"/>
                            <w:color w:val="000000"/>
                            <w:sz w:val="24"/>
                          </w:rPr>
                          <w:t>8.0</w:t>
                        </w:r>
                        <w:r>
                          <w:rPr>
                            <w:rFonts w:hint="eastAsia" w:ascii="宋体" w:hAnsi="宋体" w:eastAsia="宋体" w:cs="宋体"/>
                            <w:color w:val="000000"/>
                            <w:sz w:val="24"/>
                            <w:lang w:val="en-US" w:eastAsia="zh-CN"/>
                          </w:rPr>
                          <w:t>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71.61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71.18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70.53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7.84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49.53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5.50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48.83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5.43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48.53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5.39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47.69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5.30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7,000,000.00份，持有资产总规模为9,000,634.84元，产品资产净值为8,993,418.64元，单位净值为1.2848元，累计单位净值为1.2848元。本报告期内产品单位净值上涨0.166元，自成立以来产品单位净值上涨0.2848元，成立至今实现年化收益率为30.3953%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38235A02"/>
    <w:rsid w:val="735D3C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2025-04-03T06:14:00Z</dcterms:created>
  <dc:creator>huawei</dc:creator>
  <cp:lastModifiedBy>赵荆伟</cp:lastModifiedBy>
  <dcterms:modified xsi:type="dcterms:W3CDTF">2025-04-07T10:44:33Z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