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“承德银行承溢盈人民币理财产品第二百四十二期”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承德银行承溢盈人民币理财产品第二百四十二期（产品代码CYY0242）其关键要素如下：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C1089224000009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2025年2月18日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7.00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23.51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69.35</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1870.03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74.84</w:t>
            </w:r>
            <w:r>
              <w:rPr>
                <w:rFonts w:ascii="宋体" w:hAnsi="宋体" w:eastAsia="宋体" w:cs="宋体"/>
                <w:color w:val="000000"/>
                <w:sz w:val="24"/>
              </w:rPr>
              <w:t>%。产品持仓前十大资产如下：</w:t>
            </w:r>
            <w:bookmarkStart w:id="1" w:name="_GoBack"/>
            <w:bookmarkEnd w:id="1"/>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rFonts w:hint="eastAsia" w:eastAsia="宋体"/>
                            <w:lang w:eastAsia="zh-CN"/>
                          </w:rPr>
                        </w:pPr>
                        <w:r>
                          <w:rPr>
                            <w:rFonts w:hint="eastAsia" w:ascii="宋体" w:hAnsi="宋体" w:eastAsia="宋体" w:cs="宋体"/>
                            <w:color w:val="000000"/>
                            <w:sz w:val="24"/>
                            <w:lang w:val="en-US" w:eastAsia="zh-CN"/>
                          </w:rPr>
                          <w:t>现金</w:t>
                        </w:r>
                      </w:p>
                    </w:tc>
                  </w:tr>
                </w:tbl>
                <w:p>
                  <w:pPr>
                    <w:pStyle w:val="4"/>
                    <w:rPr>
                      <w:rFonts w:hint="eastAsia" w:eastAsia="宋体"/>
                      <w:lang w:eastAsia="zh-CN"/>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497.74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19.92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209.16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8.37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205.00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199.64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174.93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152.24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6.09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109.89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108.35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107.72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105.38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4.22</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24,099,000.00份，持有资产总规模为24,986,478.13元，产品资产净值为24,911,368.09元，单位净值为1.0337元，累计单位净值为1.0337元。本报告期内产品单位净值上涨0.0041元，自成立以来产品单位净值上涨0.0337元，成立至今实现年化收益率为3.8926%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6A335B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2025-01-09T06:14:32Z</dcterms:created>
  <dc:creator>huawei</dc:creator>
  <cp:lastModifiedBy>赵荆伟</cp:lastModifiedBy>
  <dcterms:modified xsi:type="dcterms:W3CDTF">2025-01-09T06:17:37Z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