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“承德银行承溢盈人民币理财产品第二百四十七期”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承德银行承溢盈人民币理财产品第二百四十七期（产品代码CYY0247）其关键要素如下：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C1089224000014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2025年3月11日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0.45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8.89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35.05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55.61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w:t>
            </w:r>
            <w:bookmarkStart w:id="1" w:name="_GoBack"/>
            <w:bookmarkEnd w:id="1"/>
            <w:r>
              <w:rPr>
                <w:rFonts w:ascii="宋体" w:hAnsi="宋体" w:eastAsia="宋体" w:cs="宋体"/>
                <w:color w:val="000000"/>
                <w:sz w:val="24"/>
              </w:rPr>
              <w:t>产品持仓前十大资产市值合计</w:t>
            </w:r>
            <w:r>
              <w:rPr>
                <w:rFonts w:hint="eastAsia" w:ascii="宋体" w:hAnsi="宋体" w:eastAsia="宋体" w:cs="宋体"/>
                <w:color w:val="000000"/>
                <w:sz w:val="24"/>
                <w:lang w:val="en-US" w:eastAsia="zh-CN"/>
              </w:rPr>
              <w:t>956.85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78.00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rPr>
                            <w:rFonts w:hint="default" w:eastAsia="宋体"/>
                            <w:lang w:val="en-US" w:eastAsia="zh-CN"/>
                          </w:rPr>
                        </w:pPr>
                        <w:r>
                          <w:rPr>
                            <w:rFonts w:hint="eastAsia"/>
                            <w:lang w:val="en-US" w:eastAsia="zh-CN"/>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235.07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19.16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119.76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9.76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117.38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114.31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9.32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广发中证全指电力公用事业ETF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109.01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8.89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87.17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57.24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3.20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39.10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3.19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38.62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top"/>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3.15</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12,032,000.00份，持有资产总规模为12,267,597.31元，产品资产净值为12,231,874.63元，单位净值为1.0166元，累计单位净值为1.0166元。本报告期内产品单位净值上涨-0.029元，自成立以来产品单位净值上涨0.0166元，成立至今实现年化收益率为2.013%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66E86E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2025-01-09T06:22:15Z</dcterms:created>
  <dc:creator>huawei</dc:creator>
  <cp:lastModifiedBy>赵荆伟</cp:lastModifiedBy>
  <dcterms:modified xsi:type="dcterms:W3CDTF">2025-01-09T06:24:26Z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