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“承德银行承溢盈人民币理财产品第二百五十二期”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2024年第四季度运作情况报告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承德银行承溢盈人民币理财产品第二百五十二期（产品代码CYY0252）其关键要素如下：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C1089224000019</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2024年3月20日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2025年3月18日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363天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3.15%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截至2024年12月31日，本产品投资的持仓资产结构如下：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CellMar>
                        <w:top w:w="0" w:type="dxa"/>
                        <w:left w:w="10" w:type="dxa"/>
                        <w:bottom w:w="0" w:type="dxa"/>
                        <w:right w:w="10" w:type="dxa"/>
                      </w:tblCellMar>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1.04</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公募基金</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股票基金</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8.07</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信托产品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34.35</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56.54</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截至2024年12月31日，本产品持仓前十大资产市值合计</w:t>
            </w:r>
            <w:r>
              <w:rPr>
                <w:rFonts w:hint="eastAsia" w:ascii="宋体" w:hAnsi="宋体" w:eastAsia="宋体" w:cs="宋体"/>
                <w:color w:val="000000"/>
                <w:sz w:val="24"/>
                <w:lang w:val="en-US" w:eastAsia="zh-CN"/>
              </w:rPr>
              <w:t>1437.02</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78.43</w:t>
            </w:r>
            <w:bookmarkStart w:id="1" w:name="_GoBack"/>
            <w:bookmarkEnd w:id="1"/>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现金</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365.31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19.94</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22泸州银行二级资本债01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181.79</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9.92</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22汉口银行二级01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178.18</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9.72</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22威海商行二级资本债01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173.52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9.47</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华夏中证机器人ETF</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147.82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8.07</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22湖北银行二级</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132.32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7.22</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22长沙农商行二级资本债01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86.89</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4.74</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23淮资04</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57.40</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3.13</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23句容02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57.25</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3.12</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24盐投03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56.54</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3.09</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12月31日，本产品存续份额为17,597,000.00份，持有资产总规模为18,322,042.38元，产品资产净值为18,272,230.66元，单位净值为1.0384元，累计单位净值为1.0384元。本报告期内产品单位净值上涨-0.0259元，自成立以来产品单位净值上涨0.0384元，成立至今实现年化收益率为4.8836%。</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2024年12月31日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800"/>
  <w:compat>
    <w:useFELayout/>
    <w:splitPgBreakAndParaMark/>
    <w:compatSetting w:name="compatibilityMode" w:uri="http://schemas.microsoft.com/office/word" w:val="12"/>
  </w:compat>
  <w:rsids>
    <w:rsidRoot w:val="00000000"/>
    <w:rsid w:val="031E1E2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2025-01-09T06:27:41Z</dcterms:created>
  <dc:creator>huawei</dc:creator>
  <cp:lastModifiedBy>赵荆伟</cp:lastModifiedBy>
  <dcterms:modified xsi:type="dcterms:W3CDTF">2025-01-09T06:31:25Z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