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“承德银行承溢盈人民币理财产品第二百五十三期”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承德银行承溢盈人民币理财产品第二百五十三期（产品代码CYY0253）其关键要素如下：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2025年4月15日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8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8.90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15.65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17.72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25.69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32.04</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2780.09</w:t>
            </w:r>
            <w:r>
              <w:rPr>
                <w:rFonts w:ascii="宋体" w:hAnsi="宋体" w:eastAsia="宋体" w:cs="宋体"/>
                <w:color w:val="000000"/>
                <w:sz w:val="24"/>
              </w:rPr>
              <w:t>万元，占全部持仓资产规模合计75.</w:t>
            </w:r>
            <w:r>
              <w:rPr>
                <w:rFonts w:hint="eastAsia" w:ascii="宋体" w:hAnsi="宋体" w:eastAsia="宋体" w:cs="宋体"/>
                <w:color w:val="000000"/>
                <w:sz w:val="24"/>
                <w:lang w:val="en-US" w:eastAsia="zh-CN"/>
              </w:rPr>
              <w:t>16</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1445.71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39.08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329.28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8.90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央企创新驱动ETF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285.53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7.72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富国中证A50ETF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147.81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易方达中证人工智能ETF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145.60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86.66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86.43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85.37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84.01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83.69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2.26</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35,000,000.00份，持有资产总规模为36,989,765.56元，产品资产净值为36,893,451.97元，单位净值为1.0541元，累计单位净值为1.0541元。本报告期内产品单位净值上涨0.0039元，自成立以来产品单位净值上涨0.0541元，成立至今实现年化收益率为7.0776%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519820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2025-01-09T06:35:49Z</dcterms:created>
  <dc:creator>huawei</dc:creator>
  <cp:lastModifiedBy>赵荆伟</cp:lastModifiedBy>
  <dcterms:modified xsi:type="dcterms:W3CDTF">2025-01-09T06:38:07Z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