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“承德银行承溢盈人民币理财产品第二百七十四期”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2024年第四季度运作情况报告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承德银行承溢盈人民币理财产品第二百七十四期（产品代码CYY0274）其关键要素如下：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C1089224000040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2024年6月5日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2025年6月10日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370天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2.95%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截至2024年12月31日，本产品投资的持仓资产结构如下：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0.14</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债券</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商业性金融债券</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9.17</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90.69</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截至2024年12月31日，本产品持仓前十大资产市值合计</w:t>
            </w:r>
            <w:r>
              <w:rPr>
                <w:rFonts w:hint="eastAsia" w:ascii="宋体" w:hAnsi="宋体" w:eastAsia="宋体" w:cs="宋体"/>
                <w:color w:val="000000"/>
                <w:sz w:val="24"/>
                <w:lang w:val="en-US" w:eastAsia="zh-CN"/>
              </w:rPr>
              <w:t>1396.13</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95.67</w:t>
            </w:r>
            <w:bookmarkStart w:id="1" w:name="_GoBack"/>
            <w:bookmarkEnd w:id="1"/>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p>
                  <w:pPr>
                    <w:pStyle w:val="4"/>
                  </w:pPr>
                </w:p>
                <w:p>
                  <w:pPr>
                    <w:bidi w:val="0"/>
                  </w:pPr>
                </w:p>
                <w:p>
                  <w:pPr>
                    <w:tabs>
                      <w:tab w:val="left" w:pos="905"/>
                    </w:tabs>
                    <w:bidi w:val="0"/>
                    <w:jc w:val="left"/>
                    <w:rPr>
                      <w:rFonts w:hint="default" w:eastAsia="宋体"/>
                      <w:lang w:val="en-US" w:eastAsia="zh-CN"/>
                    </w:rPr>
                  </w:pPr>
                  <w:r>
                    <w:rPr>
                      <w:rFonts w:hint="eastAsia"/>
                      <w:lang w:eastAsia="zh-CN"/>
                    </w:rPr>
                    <w:tab/>
                  </w:r>
                  <w:r>
                    <w:rPr>
                      <w:rFonts w:hint="eastAsia" w:ascii="宋体" w:hAnsi="宋体" w:eastAsia="宋体" w:cs="宋体"/>
                      <w:color w:val="000000"/>
                      <w:sz w:val="24"/>
                      <w:lang w:val="en-US" w:eastAsia="zh-CN"/>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p>
                  <w:pPr>
                    <w:pStyle w:val="4"/>
                  </w:pPr>
                </w:p>
                <w:p>
                  <w:pPr>
                    <w:jc w:val="center"/>
                    <w:rPr>
                      <w:rFonts w:ascii="宋体" w:hAnsi="宋体" w:eastAsia="宋体" w:cs="宋体"/>
                      <w:color w:val="000000"/>
                      <w:sz w:val="24"/>
                    </w:rPr>
                  </w:pPr>
                </w:p>
                <w:p>
                  <w:pPr>
                    <w:jc w:val="center"/>
                    <w:rPr>
                      <w:rFonts w:hint="default" w:eastAsia="宋体"/>
                      <w:lang w:val="en-US" w:eastAsia="zh-CN"/>
                    </w:rPr>
                  </w:pPr>
                  <w:r>
                    <w:rPr>
                      <w:rFonts w:hint="eastAsia" w:ascii="宋体" w:hAnsi="宋体" w:eastAsia="宋体" w:cs="宋体"/>
                      <w:color w:val="000000"/>
                      <w:sz w:val="24"/>
                      <w:lang w:val="en-US" w:eastAsia="zh-CN"/>
                    </w:rPr>
                    <w:t>340.88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p>
                  <w:pPr>
                    <w:pStyle w:val="4"/>
                  </w:pPr>
                </w:p>
                <w:p>
                  <w:pPr>
                    <w:bidi w:val="0"/>
                  </w:pPr>
                </w:p>
                <w:p>
                  <w:pPr>
                    <w:bidi w:val="0"/>
                    <w:jc w:val="center"/>
                    <w:rPr>
                      <w:rFonts w:hint="default" w:eastAsia="宋体"/>
                      <w:lang w:val="en-US" w:eastAsia="zh-CN"/>
                    </w:rPr>
                  </w:pPr>
                  <w:r>
                    <w:rPr>
                      <w:rFonts w:hint="eastAsia" w:ascii="宋体" w:hAnsi="宋体" w:eastAsia="宋体" w:cs="宋体"/>
                      <w:color w:val="000000"/>
                      <w:sz w:val="24"/>
                      <w:lang w:val="en-US" w:eastAsia="zh-CN"/>
                    </w:rPr>
                    <w:t>23.36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22泸州银行二级资本债01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175.32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12.01</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22汉口银行二级01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171.84</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11.78</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22威海商行二级资本债01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167.34</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11.47</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20秦皇岛银行二级01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133.77</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9.17</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22湖北银行二级</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127.61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8.74</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22长沙农商行二级资本债01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83.80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5.74</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23东莞银行二级资本债01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65.93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4.52</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23成都银行二级资本债01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65.01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4.45</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23苏州银行二级01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64.63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4.43</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12月31日，本产品存续份额为13,651,000.00份，持有资产总规模为14,593,638.15元，产品资产净值为14,565,363.75元，单位净值为1.0670元，累计单位净值为1.0670元。本报告期内产品单位净值上涨0.0207元，自成立以来产品单位净值上涨0.067元，成立至今实现年化收益率为11.6452%。</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2024年12月31日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800"/>
  <w:compat>
    <w:useFELayout/>
    <w:splitPgBreakAndParaMark/>
    <w:compatSetting w:name="compatibilityMode" w:uri="http://schemas.microsoft.com/office/word" w:val="12"/>
  </w:compat>
  <w:rsids>
    <w:rsidRoot w:val="00000000"/>
    <w:rsid w:val="085114E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2025-01-09T03:50:28Z</dcterms:created>
  <dc:creator>huawei</dc:creator>
  <cp:lastModifiedBy>赵荆伟</cp:lastModifiedBy>
  <dcterms:modified xsi:type="dcterms:W3CDTF">2025-01-09T03:54:42Z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